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288" w:lineRule="atLeast"/>
      </w:pPr>
      <w:r>
        <w:rPr>
          <w:sz w:val="24"/>
          <w:b/>
          <w:szCs w:val="24"/>
        </w:rPr>
        <w:t xml:space="preserve">Информация на заседание </w:t>
      </w:r>
    </w:p>
    <w:p>
      <w:pPr>
        <w:pStyle w:val="style0"/>
        <w:jc w:val="center"/>
        <w:spacing w:line="288" w:lineRule="atLeast"/>
      </w:pPr>
      <w:r>
        <w:rPr>
          <w:sz w:val="24"/>
          <w:b/>
          <w:szCs w:val="24"/>
        </w:rPr>
        <w:t xml:space="preserve">Республиканской трехсторонней комиссии по регулированию </w:t>
      </w:r>
    </w:p>
    <w:p>
      <w:pPr>
        <w:pStyle w:val="style0"/>
        <w:jc w:val="center"/>
        <w:spacing w:line="288" w:lineRule="atLeast"/>
      </w:pPr>
      <w:r>
        <w:rPr>
          <w:sz w:val="24"/>
          <w:b/>
          <w:szCs w:val="24"/>
        </w:rPr>
        <w:t>социально-трудовых отношений</w:t>
      </w:r>
    </w:p>
    <w:p>
      <w:pPr>
        <w:pStyle w:val="style0"/>
        <w:jc w:val="center"/>
        <w:ind w:hanging="0" w:left="360" w:right="0"/>
        <w:spacing w:line="288" w:lineRule="atLeast"/>
      </w:pPr>
      <w:r>
        <w:rPr>
          <w:sz w:val="24"/>
          <w:szCs w:val="24"/>
        </w:rPr>
      </w:r>
    </w:p>
    <w:p>
      <w:pPr>
        <w:pStyle w:val="style27"/>
        <w:numPr>
          <w:ilvl w:val="0"/>
          <w:numId w:val="1"/>
        </w:numPr>
        <w:jc w:val="center"/>
        <w:spacing w:line="288" w:lineRule="atLeast"/>
      </w:pPr>
      <w:r>
        <w:rPr>
          <w:sz w:val="24"/>
          <w:b/>
          <w:szCs w:val="24"/>
        </w:rPr>
        <w:t>июня 2012 г.</w:t>
      </w:r>
    </w:p>
    <w:p>
      <w:pPr>
        <w:pStyle w:val="style0"/>
        <w:jc w:val="center"/>
        <w:spacing w:line="288" w:lineRule="atLeast"/>
      </w:pPr>
      <w:r>
        <w:rPr>
          <w:sz w:val="24"/>
          <w:szCs w:val="24"/>
        </w:rPr>
      </w:r>
    </w:p>
    <w:p>
      <w:pPr>
        <w:pStyle w:val="style0"/>
        <w:jc w:val="both"/>
      </w:pPr>
      <w:r>
        <w:rPr>
          <w:sz w:val="24"/>
          <w:b/>
          <w:szCs w:val="24"/>
          <w:bCs/>
        </w:rPr>
        <w:t xml:space="preserve">                </w:t>
      </w:r>
      <w:r>
        <w:rPr>
          <w:sz w:val="24"/>
          <w:b/>
          <w:szCs w:val="24"/>
          <w:bCs/>
        </w:rPr>
        <w:t xml:space="preserve">Вопрос 1. О выполнении страхователями обязательств по обязательному пенсионному и медицинскому страхованиям. </w:t>
      </w:r>
    </w:p>
    <w:p>
      <w:pPr>
        <w:pStyle w:val="style0"/>
        <w:jc w:val="both"/>
        <w:ind w:hanging="993" w:left="993" w:right="0"/>
      </w:pPr>
      <w:r>
        <w:rPr>
          <w:sz w:val="24"/>
          <w:szCs w:val="24"/>
        </w:rPr>
      </w:r>
    </w:p>
    <w:p>
      <w:pPr>
        <w:pStyle w:val="style0"/>
        <w:jc w:val="both"/>
        <w:ind w:firstLine="709" w:left="0" w:right="0"/>
      </w:pPr>
      <w:r>
        <w:rPr>
          <w:sz w:val="24"/>
          <w:szCs w:val="24"/>
        </w:rPr>
        <w:t xml:space="preserve">В Чувашской Республике состоит на учете 80,3 тыс. плательщиков страховых взносов, из них: работодателей - 28,1 тыс. (35,0%),  в т.ч. осуществляющие финансово-хозяйственную деятельность - 15,2 тыс. или 54,1%; индивидуальных предпринимателей - 52,2 (65,0 %).      </w:t>
      </w:r>
    </w:p>
    <w:p>
      <w:pPr>
        <w:pStyle w:val="style0"/>
        <w:jc w:val="both"/>
        <w:ind w:firstLine="709" w:left="0" w:right="0"/>
      </w:pPr>
      <w:r>
        <w:rPr>
          <w:sz w:val="24"/>
          <w:szCs w:val="24"/>
        </w:rPr>
        <w:t>По состоянию на 01 июня 2012 г. в бюджет ПФР поступило страховых взносов на обязательное пенсионное страхование в сумме 4816,2 млн. рублей</w:t>
      </w:r>
      <w:r>
        <w:rPr>
          <w:color w:val="7030A0"/>
          <w:sz w:val="24"/>
          <w:szCs w:val="24"/>
        </w:rPr>
        <w:t xml:space="preserve">, </w:t>
      </w:r>
      <w:r>
        <w:rPr>
          <w:sz w:val="24"/>
          <w:szCs w:val="24"/>
        </w:rPr>
        <w:t>в бюджет ФОМС  на обязательное медицинское страхование - 1072,6 млн. рублей.  Темп роста доходов к уровню 2011 года составил на обязательное пенсионное страхование - 106,9 %</w:t>
      </w:r>
      <w:r>
        <w:rPr>
          <w:color w:val="7030A0"/>
          <w:sz w:val="24"/>
          <w:szCs w:val="24"/>
        </w:rPr>
        <w:t xml:space="preserve">,  </w:t>
      </w:r>
      <w:r>
        <w:rPr>
          <w:sz w:val="24"/>
          <w:szCs w:val="24"/>
        </w:rPr>
        <w:t xml:space="preserve">на обязательное медицинское страхование - 120,7 %. </w:t>
      </w:r>
    </w:p>
    <w:p>
      <w:pPr>
        <w:pStyle w:val="style0"/>
        <w:jc w:val="both"/>
        <w:ind w:firstLine="709" w:left="0" w:right="0"/>
      </w:pPr>
      <w:r>
        <w:rPr>
          <w:sz w:val="24"/>
          <w:szCs w:val="24"/>
        </w:rPr>
        <w:t>База для начисления страховых взносов в 2011 году в сравнении с 2010 годом увеличилась на 4,1 млрд. руб. (8,3%) и составила 53,4 млрд. руб. (49,3 млрд. руб. - в 2010 году). Сумма начисленных страховых взносов на обязательное пенсионное страхование (далее – ОПС) в 2011 году также возросла на 4,3 млрд. руб. (46,4%) и составила 13,5 млрд. рублей (9,2 млрд. руб. - в 2010 году). Рост начисленных страховых взносов был связан с ростом общеустановленного тарифа с 20% в 2010 году до 26% в 2011 году. Средняя ставка тарифа страховых взносов в 2011 году составила 25,2% против 18,7% в 2010 году.</w:t>
      </w:r>
    </w:p>
    <w:p>
      <w:pPr>
        <w:pStyle w:val="style0"/>
        <w:jc w:val="both"/>
        <w:ind w:firstLine="709" w:left="0" w:right="0"/>
      </w:pPr>
      <w:r>
        <w:rPr>
          <w:sz w:val="24"/>
          <w:szCs w:val="24"/>
        </w:rPr>
        <w:t xml:space="preserve"> </w:t>
      </w:r>
      <w:r>
        <w:rPr>
          <w:sz w:val="24"/>
          <w:szCs w:val="24"/>
        </w:rPr>
        <w:t xml:space="preserve">База для начисления страховых взносов в 1 квартале 2012 года  увеличилась на 1,8 млрд. руб. (14,1 %) к  аналогичному периоду 2011 года и составила 14,3 млрд. руб., а  сумма начисленных страховых взносов на ОПС уменьшилась на 36,9 млн. руб. (1,2%) и составила 3,1 млрд. рублей. Основной причиной снижения суммы страховых взносов послужили изменения тарифной политики в 2012 году - общеустановленная тарифная ставка снизилась с 26% до 22% и расширение перечня организаций, применяющих пониженные тарифы. </w:t>
      </w:r>
    </w:p>
    <w:p>
      <w:pPr>
        <w:pStyle w:val="style0"/>
        <w:jc w:val="both"/>
        <w:ind w:firstLine="709" w:left="0" w:right="0"/>
      </w:pPr>
      <w:r>
        <w:rPr>
          <w:sz w:val="24"/>
          <w:szCs w:val="24"/>
        </w:rPr>
        <w:t>Средняя ставка тарифа страховых взносов в целом по республике в 1 квартале 2012 года  составила 21,9% против 25,3% в 1 квартале 2011 года.</w:t>
      </w:r>
    </w:p>
    <w:p>
      <w:pPr>
        <w:pStyle w:val="style0"/>
        <w:jc w:val="both"/>
        <w:ind w:firstLine="709" w:left="0" w:right="0"/>
      </w:pPr>
      <w:r>
        <w:rPr>
          <w:sz w:val="24"/>
          <w:szCs w:val="24"/>
        </w:rPr>
        <w:t>По итогам 2011 года правом на применение пониженных тарифов страховых взносов воспользовались 1,8 тыс.</w:t>
      </w:r>
      <w:r>
        <w:rPr>
          <w:sz w:val="24"/>
          <w:b/>
          <w:szCs w:val="24"/>
          <w:bCs/>
        </w:rPr>
        <w:t xml:space="preserve"> </w:t>
      </w:r>
      <w:r>
        <w:rPr>
          <w:sz w:val="24"/>
          <w:szCs w:val="24"/>
        </w:rPr>
        <w:t>плательщиков республики из 24,8 тыс. представивших отчетность.</w:t>
      </w:r>
    </w:p>
    <w:p>
      <w:pPr>
        <w:pStyle w:val="style0"/>
        <w:jc w:val="both"/>
        <w:ind w:firstLine="709" w:left="0" w:right="0"/>
      </w:pPr>
      <w:r>
        <w:rPr>
          <w:sz w:val="24"/>
          <w:szCs w:val="24"/>
        </w:rPr>
        <w:t>В 1 квартале 2012 года правом на применение пониженных тарифов страховых взносов воспользовались 2,8 тыс. плательщиков республики или 12,8% страхователей, представивших отчетность.</w:t>
      </w:r>
    </w:p>
    <w:p>
      <w:pPr>
        <w:pStyle w:val="style0"/>
        <w:jc w:val="both"/>
        <w:ind w:firstLine="709" w:left="0" w:right="0"/>
      </w:pPr>
      <w:r>
        <w:rPr>
          <w:sz w:val="24"/>
          <w:szCs w:val="24"/>
        </w:rPr>
        <w:t>Дополнительно в 2012 году льготу получили аптечные организации, уплачивающие единый налог на вмененный доход, некоммерческие организации, действующие в области социального обслуживания, научных исследований и разработок, образования, здравоохранения, культуры и искусства, массового спорта (кроме профессионального) и благотворительные организации, применяющие упрощенную систему налогообложения.</w:t>
      </w:r>
    </w:p>
    <w:p>
      <w:pPr>
        <w:pStyle w:val="style0"/>
        <w:jc w:val="both"/>
        <w:ind w:firstLine="709" w:left="0" w:right="0"/>
      </w:pPr>
      <w:r>
        <w:rPr>
          <w:sz w:val="24"/>
          <w:szCs w:val="24"/>
        </w:rPr>
        <w:t>В связи с применением пониженных тарифов указанные организации получили государственную поддержку в 2011 году - 427,6 млн. руб., в 2012 году - 53,1 млн. руб. и пенсионные права работников будут сформированы в полном объеме с учетом компенсации из федерального бюджета.</w:t>
      </w:r>
    </w:p>
    <w:p>
      <w:pPr>
        <w:pStyle w:val="style0"/>
        <w:jc w:val="both"/>
        <w:ind w:firstLine="709" w:left="0" w:right="0"/>
      </w:pPr>
      <w:r>
        <w:rPr>
          <w:sz w:val="24"/>
          <w:szCs w:val="24"/>
        </w:rPr>
        <w:t xml:space="preserve">Изменение тарифной политики в 2011 году не оказало значительного влияния на платежную дисциплину плательщиков. Коэффициент поступления страховых взносов в  целом по республике остался на уровне 2010 года и составил на обязательное пенсионное и медицинское страхование -  0,91. </w:t>
      </w:r>
    </w:p>
    <w:p>
      <w:pPr>
        <w:pStyle w:val="style0"/>
        <w:jc w:val="both"/>
        <w:ind w:firstLine="709" w:left="0" w:right="0"/>
      </w:pPr>
      <w:r>
        <w:rPr>
          <w:sz w:val="24"/>
          <w:szCs w:val="24"/>
        </w:rPr>
        <w:t xml:space="preserve">За нарушение срока представления отчетности применены штрафные санкции: в 2011 году - к 11,5 тыс.  плательщикам на сумму  28,0 млн. руб.,  в 2012 году - к 1,1 тыс. плательщикам на сумму 4,6 млн. рублей. </w:t>
      </w:r>
    </w:p>
    <w:p>
      <w:pPr>
        <w:pStyle w:val="style0"/>
        <w:jc w:val="both"/>
        <w:ind w:firstLine="709" w:left="0" w:right="0"/>
      </w:pPr>
      <w:r>
        <w:rPr>
          <w:sz w:val="24"/>
          <w:szCs w:val="24"/>
        </w:rPr>
        <w:t>С начала 2010 года 137 плательщиков страховых взносов произвели уплату страховых взносов на страховую часть в сумме  4,7 млн. руб., на накопительную часть – 1,4 млн. руб., на обязательное медицинское страхование - 0,6 млн. руб., но в нарушение законодательства о страховых взносах не представили отчетность в ПФР, что приводит к ущемлению пенсионных прав работников.</w:t>
      </w:r>
    </w:p>
    <w:p>
      <w:pPr>
        <w:pStyle w:val="style0"/>
        <w:jc w:val="both"/>
        <w:ind w:firstLine="709" w:left="0" w:right="0"/>
      </w:pPr>
      <w:r>
        <w:rPr>
          <w:sz w:val="24"/>
          <w:szCs w:val="24"/>
        </w:rPr>
        <w:t xml:space="preserve">В целом по республике задолженность по страховым взносам на ОПС за 2010-2012 гг. по плательщикам, производящим выплаты и иные вознаграждения физическим лицам,  по состоянию на 1 июня 2012 года составила 565,9 млн. руб. (2,2 % к начисленным страховым взносам), в т.ч. на страховую часть - 489,9 млн. руб., на накопительную часть - 76,0 млн. руб.; по страховым взносам </w:t>
      </w:r>
      <w:r>
        <w:rPr>
          <w:sz w:val="24"/>
          <w:szCs w:val="24"/>
          <w:iCs/>
        </w:rPr>
        <w:t>на обязательное медицинское страхование (далее - ОМС) - 115,1 млн. руб., или 2,5% к начисленным взносам.</w:t>
      </w:r>
    </w:p>
    <w:p>
      <w:pPr>
        <w:pStyle w:val="style0"/>
        <w:jc w:val="both"/>
        <w:ind w:firstLine="709" w:left="0" w:right="0"/>
      </w:pPr>
      <w:r>
        <w:rPr>
          <w:sz w:val="24"/>
          <w:szCs w:val="24"/>
        </w:rPr>
        <w:t xml:space="preserve">Наибольшую задолженность по текущим платежам по состоянию на 1 июня 2012 года имеют следующие организации: ОАО «Чебоксарский агрегатный завод» (на ОПС - 35,6 млн. руб., на ОМС - 8,2 млн. руб.); ОАО «Чебоксарский завод промышленных тракторов» (на ОПС - 30,3 млн. руб., на ОМС - 9,0 млн. руб.); ООО «Компания корпоративного управления «Концерн «Тракторные заводы» (на ОПС - 21,0 млн. руб., на ОМС - 4,0 млн. руб.);  ОАО «ВНИИР» (на ОПС - 16,8 млн. руб., на ОМС - 3,5 млн. руб.); ЗАО «Чебоксарский завод силового электрооборудования «Электросила» (на ОПС - 13,9 млн. руб., на ОМС - 1,9 млн. рублей). </w:t>
      </w:r>
    </w:p>
    <w:p>
      <w:pPr>
        <w:pStyle w:val="style0"/>
        <w:jc w:val="both"/>
        <w:ind w:firstLine="709" w:left="0" w:right="0"/>
      </w:pPr>
      <w:r>
        <w:rPr>
          <w:sz w:val="24"/>
          <w:szCs w:val="24"/>
        </w:rPr>
        <w:t>В 2010-2012гг. не перечислялись текущие страховые взносы организациями, находящимися в процедуре банкротства: ОАО «Волжская текстильная компания» (на ОПС - 83,7 млн. руб., на ОМС - 13,8 млн. руб.); ООО «Железобетон» (на ОПС - 14,4 млн. руб., на ОМС - 2,5 млн. руб.); ОАО «Чебоксарское авиапредприятие» (на ОПС - 13,4 млн. руб., на ОМС - 2,3 млн. руб.); ООО «Машиностроительный завод» (на ОПС - 3,9 млн. руб., на ОМС - 0,6 млн. руб.); ОАО «Волгодорстрой» (на ОПС - 2,7 млн. руб., на ОМС - 0,5 млн. рублей).</w:t>
      </w:r>
    </w:p>
    <w:p>
      <w:pPr>
        <w:pStyle w:val="style28"/>
        <w:ind w:hanging="0" w:left="0" w:right="0"/>
      </w:pPr>
      <w:r>
        <w:rPr>
          <w:color w:val="000000"/>
          <w:sz w:val="24"/>
          <w:szCs w:val="24"/>
        </w:rPr>
        <w:t>Отдельные бюджетные организации республики имеют задолженность по страховым взносам на ОПС в сумме  2,8 млн. руб., на ОМС - 1,6 млн. рублей. Среди них наибольшую задолженность имеют: Бюджетное учреждение «Новочебоксарская городская детская больница» Минздравсоцразвития Чувашской Республики: на ОПС - 2,6 млн. руб., на ОМС - 1,6 млн. руб.; АУ ДОД «Детско-юношеская спортивная школа «Локомотив» г. Канаш: на ОПС - 0,2 млн. рублей.</w:t>
      </w:r>
    </w:p>
    <w:p>
      <w:pPr>
        <w:pStyle w:val="style28"/>
        <w:ind w:firstLine="709" w:left="0" w:right="0"/>
      </w:pPr>
      <w:r>
        <w:rPr>
          <w:sz w:val="24"/>
          <w:szCs w:val="24"/>
          <w:iCs/>
        </w:rPr>
        <w:t>В</w:t>
      </w:r>
      <w:r>
        <w:rPr>
          <w:color w:val="000000"/>
          <w:sz w:val="24"/>
          <w:szCs w:val="24"/>
          <w:iCs/>
        </w:rPr>
        <w:t xml:space="preserve"> целях обеспечения сокращения просроченной задолженности организаций бюджетной сферы доводилась информация об имеющейся задолженности до Кабинета Министров Чувашской Республики, глав администраций районов и городов. В результате принятых </w:t>
      </w:r>
      <w:r>
        <w:rPr>
          <w:color w:val="000000"/>
          <w:sz w:val="24"/>
          <w:szCs w:val="24"/>
        </w:rPr>
        <w:t xml:space="preserve">мер задолженность организаций бюджетной сферы в текущем году уменьшилась на 21,6 млн. рублей. </w:t>
      </w:r>
    </w:p>
    <w:p>
      <w:pPr>
        <w:pStyle w:val="style0"/>
        <w:jc w:val="both"/>
        <w:ind w:firstLine="709" w:left="0" w:right="0"/>
      </w:pPr>
      <w:r>
        <w:rPr>
          <w:sz w:val="24"/>
          <w:szCs w:val="24"/>
          <w:iCs/>
        </w:rPr>
        <w:t>Организована работа по взысканию задолженности в принудительном порядке.</w:t>
      </w:r>
    </w:p>
    <w:p>
      <w:pPr>
        <w:pStyle w:val="style0"/>
        <w:jc w:val="both"/>
        <w:ind w:firstLine="709" w:left="0" w:right="0"/>
      </w:pPr>
      <w:r>
        <w:rPr>
          <w:sz w:val="24"/>
          <w:szCs w:val="24"/>
          <w:iCs/>
        </w:rPr>
        <w:t>По направленным требованиям об уплате недоимки по страховым взносам, пеней и штрафов в бюджет ПФР в 2011 году поступило 622,4 млн. руб., в 2012 году - 182,9 млн. руб., по инкассовым поручениям - 378,6 млн. руб. и 73,6 млн. руб., от службы судебных приставов по постановлениям о взыскании недоимки - 73,6  млн. руб. и 14,0 млн. руб. соответственно.</w:t>
      </w:r>
    </w:p>
    <w:p>
      <w:pPr>
        <w:pStyle w:val="style0"/>
        <w:jc w:val="both"/>
        <w:ind w:firstLine="630" w:left="0" w:right="0"/>
      </w:pPr>
      <w:r>
        <w:rPr>
          <w:sz w:val="24"/>
          <w:szCs w:val="24"/>
        </w:rPr>
        <w:t>В 2012 году проведено 14 комиссий по рассмотрению платежной дисциплины плательщиков при главах администраций районов и городов республики, на которых рассмотрено 109 плательщиков с общей суммой задолженности 29,1 млн. руб., после проведенных заседаний поступило в бюджет ПФР 8,4 млн. руб. (28,9 % от общей суммы).</w:t>
      </w:r>
    </w:p>
    <w:p>
      <w:pPr>
        <w:pStyle w:val="style29"/>
        <w:jc w:val="both"/>
        <w:ind w:firstLine="630" w:left="0" w:right="0"/>
      </w:pPr>
      <w:r>
        <w:rPr>
          <w:color w:val="000000"/>
          <w:sz w:val="24"/>
          <w:szCs w:val="24"/>
          <w:rFonts w:ascii="Times New Roman" w:cs="Times New Roman" w:eastAsia="Times New Roman" w:hAnsi="Times New Roman"/>
        </w:rPr>
        <w:t xml:space="preserve">По итогам 1 квартала 2012 г.  принято 486 тыс. индивидуальных сведений от 15,3 тыс. страхователей. Отмечается снижение числа представленных работодателями индивидуальных сведений по сравнению  с аналогичным периодом прошлого года на 5,6% при одновременном увеличении на 2,7% числа страхователей, представляющих отчетность. Численность застрахованных лиц, по которым индивидуальные сведения содержат сведения о страховом стаже, дающем право работникам на досрочное назначение пенсии, практически не изменилась (79,4тыс.). </w:t>
      </w:r>
    </w:p>
    <w:p>
      <w:pPr>
        <w:pStyle w:val="style0"/>
        <w:jc w:val="both"/>
        <w:tabs>
          <w:tab w:leader="none" w:pos="709" w:val="left"/>
        </w:tabs>
        <w:ind w:firstLine="360" w:left="0" w:right="0"/>
      </w:pPr>
      <w:r>
        <w:rPr>
          <w:sz w:val="24"/>
          <w:szCs w:val="24"/>
        </w:rPr>
        <w:tab/>
        <w:t xml:space="preserve">Общее число принятых заявлений граждан о вступлении в Программу государственного софинансирования накопительной части пенсий составило 121,5 тыс., из них в 2012 г. - 6,6 тыс. В 2009-2011гг. жителями Чувашии внесено и софинансировано государством 109 млн. руб. дополнительных страховых взносов на накопительную часть пенсии. За 5 месяцев  2012 г. поступило 9,1 млн. руб., или 116% к аналогичному периоду прошлого года. Всего за периоды, начиная с 2009г.,  от 17 организаций республики поступил 1 млн. руб. в пользу своих работников, уплачивающих дополнительные страховые взносы, что составляет около 1% от общей суммы поступивших дополнительных страховых взносов. Численность лиц, уплативших взносы, возросла с 7,6 тыс. чел. в 2009г. до 8,3 тыс. чел. в 2011г. Средняя сумма уплаты на одно лицо в год составила 4,5 тыс. рублей. </w:t>
      </w:r>
    </w:p>
    <w:p>
      <w:pPr>
        <w:pStyle w:val="style0"/>
        <w:jc w:val="both"/>
        <w:tabs>
          <w:tab w:leader="none" w:pos="709" w:val="left"/>
          <w:tab w:leader="none" w:pos="720" w:val="left"/>
        </w:tabs>
        <w:ind w:firstLine="360" w:left="0" w:right="0"/>
      </w:pPr>
      <w:r>
        <w:rPr>
          <w:sz w:val="24"/>
          <w:szCs w:val="24"/>
        </w:rPr>
        <w:tab/>
        <w:t xml:space="preserve">В связи с вступлением в силу с 01.07.2012г. Федерального закона от 30.11.2011 № 360-ФЗ Отделением проведены подготовительные работы для осуществления выплат за счет средств пенсионных накоплений, сформированных в рамках обязательного пенсионного страхования, и средств материнского (семейного) капитала. По данным Отделения численность лиц, приобретающих в 2012г. право на единовременную выплату, составляет 40 тыс. В последующем ожидается обращение  за установлением накопительной части пенсии, срочной или единовременной выплаты 20 тыс. жителей Чувашии в год. </w:t>
      </w:r>
    </w:p>
    <w:p>
      <w:pPr>
        <w:pStyle w:val="style0"/>
        <w:jc w:val="both"/>
        <w:ind w:firstLine="709" w:left="0" w:right="0"/>
      </w:pPr>
      <w:r>
        <w:rPr>
          <w:sz w:val="24"/>
          <w:szCs w:val="24"/>
        </w:rPr>
        <w:t xml:space="preserve">С 2002 г. поступило 9,2 млрд.руб. страховых взносов на финансирование накопительной  части трудовой пенсии 730 тыс. жителей республики. Треть из них воспользовалась правом инвестирования. Увеличение активности по управлению средствами пенсионных накоплений наблюдается с 2007г. - с  начала деятельности на территории республики представительств негосударственных пенсионных фондов. </w:t>
      </w:r>
    </w:p>
    <w:p>
      <w:pPr>
        <w:pStyle w:val="style30"/>
        <w:jc w:val="both"/>
        <w:widowControl/>
        <w:ind w:firstLine="709" w:left="0" w:right="0"/>
      </w:pPr>
      <w:r>
        <w:rPr>
          <w:sz w:val="24"/>
          <w:szCs w:val="24"/>
          <w:rFonts w:ascii="Times New Roman" w:cs="Times New Roman" w:hAnsi="Times New Roman"/>
        </w:rPr>
        <w:t xml:space="preserve">Отделением ПФР проводится масштабная работа по повышению грамотности населения в области пенсионного страхования. Увеличивается количество публикаций, сюжетов и выступлений во всех видах СМИ, реализуются такие образовательные проекты для населения, как  ежегодное участие в выставках, организация информационных марафонов. </w:t>
      </w:r>
    </w:p>
    <w:p>
      <w:pPr>
        <w:pStyle w:val="style0"/>
        <w:jc w:val="both"/>
        <w:ind w:firstLine="426" w:left="0" w:right="0"/>
      </w:pPr>
      <w:r>
        <w:rPr>
          <w:sz w:val="24"/>
          <w:szCs w:val="24"/>
        </w:rPr>
      </w:r>
    </w:p>
    <w:p>
      <w:pPr>
        <w:pStyle w:val="style0"/>
        <w:jc w:val="both"/>
        <w:ind w:firstLine="426" w:left="0" w:right="0"/>
      </w:pPr>
      <w:r>
        <w:rPr>
          <w:sz w:val="24"/>
          <w:i/>
          <w:szCs w:val="24"/>
        </w:rPr>
        <w:t xml:space="preserve">    </w:t>
      </w:r>
      <w:r>
        <w:rPr>
          <w:sz w:val="24"/>
          <w:i/>
          <w:szCs w:val="24"/>
        </w:rPr>
        <w:t>Предложения в проект решения Комиссии:</w:t>
      </w:r>
    </w:p>
    <w:p>
      <w:pPr>
        <w:pStyle w:val="style0"/>
        <w:jc w:val="both"/>
        <w:tabs>
          <w:tab w:leader="none" w:pos="0" w:val="left"/>
          <w:tab w:leader="none" w:pos="709" w:val="left"/>
          <w:tab w:leader="none" w:pos="4320" w:val="left"/>
          <w:tab w:leader="none" w:pos="4500" w:val="left"/>
        </w:tabs>
      </w:pPr>
      <w:r>
        <w:rPr>
          <w:sz w:val="24"/>
          <w:szCs w:val="24"/>
        </w:rPr>
        <w:t xml:space="preserve">           </w:t>
      </w:r>
      <w:r>
        <w:rPr>
          <w:sz w:val="24"/>
          <w:szCs w:val="24"/>
        </w:rPr>
        <w:t>1.  Принять информацию Отделения ПФР по Чувашской Республике-Чувашии к сведению.</w:t>
      </w:r>
    </w:p>
    <w:p>
      <w:pPr>
        <w:pStyle w:val="style28"/>
      </w:pPr>
      <w:r>
        <w:rPr>
          <w:color w:val="000000"/>
          <w:sz w:val="24"/>
          <w:szCs w:val="24"/>
        </w:rPr>
        <w:t xml:space="preserve">           </w:t>
      </w:r>
      <w:r>
        <w:rPr>
          <w:color w:val="000000"/>
          <w:sz w:val="24"/>
          <w:szCs w:val="24"/>
        </w:rPr>
        <w:t>2. В целях обеспечения формирования пенсионных накоплений граждан в полном объеме и недопущения роста задолженности по страховым взносам на обязательное пенсионное и медицинское страхование рекомендовать Отделению Пенсионного фонда Российской Федерации по Чувашской Республике-Чувашии:</w:t>
      </w:r>
    </w:p>
    <w:p>
      <w:pPr>
        <w:pStyle w:val="style28"/>
        <w:ind w:firstLine="708" w:left="0" w:right="0"/>
      </w:pPr>
      <w:r>
        <w:rPr>
          <w:color w:val="000000"/>
          <w:sz w:val="24"/>
          <w:szCs w:val="24"/>
        </w:rPr>
        <w:t>продолжить работу  по  взысканию задолженности по страховым взносам на обязательное пенсионное и медицинское страхование в соответствии с предоставленными  полномочиями  администратора платежей;</w:t>
      </w:r>
    </w:p>
    <w:p>
      <w:pPr>
        <w:pStyle w:val="style28"/>
        <w:ind w:firstLine="708" w:left="0" w:right="0"/>
      </w:pPr>
      <w:r>
        <w:rPr>
          <w:color w:val="000000"/>
          <w:sz w:val="24"/>
          <w:szCs w:val="24"/>
        </w:rPr>
        <w:t>обеспечить оперативное взаимодействие с Управлением Федеральной службы судебных приставов по Чувашской Республике  по взысканию задолженности по страховым взносам;</w:t>
      </w:r>
    </w:p>
    <w:p>
      <w:pPr>
        <w:pStyle w:val="style0"/>
        <w:jc w:val="both"/>
      </w:pPr>
      <w:r>
        <w:rPr>
          <w:sz w:val="24"/>
          <w:szCs w:val="24"/>
        </w:rPr>
        <w:t xml:space="preserve">           </w:t>
      </w:r>
      <w:r>
        <w:rPr>
          <w:sz w:val="24"/>
          <w:szCs w:val="24"/>
        </w:rPr>
        <w:t>во взаимодействии с органами исполнительной власти, профсоюзами и работодателями продолжить  информационно-разъяснительную работу среди  всех  категорий работодателей, самозанятого населения и граждан по вопросам, связанным с реализацией Федеральных законов от 30.04.2008 № 56-ФЗ "О дополнительных страховых взносах на накопительную часть трудовой пенсии и государственной поддержке формирования пенсионных накоплений", от 30.11.2011 №360-ФЗ «О порядке финансирования выплат за счет средств пенсионных накоплений».</w:t>
      </w:r>
    </w:p>
    <w:p>
      <w:pPr>
        <w:pStyle w:val="style28"/>
        <w:ind w:firstLine="709" w:left="0" w:right="0"/>
      </w:pPr>
      <w:r>
        <w:rPr>
          <w:color w:val="000000"/>
          <w:sz w:val="24"/>
          <w:szCs w:val="24"/>
        </w:rPr>
        <w:t>3. Органам местного самоуправления городов и районов Чувашской Республики рассматривать на комиссиях по повышению устойчивости социально-экономического развития с участием представителей органов прокуратуры  платежную дисциплину страхователей-недоимщиков.</w:t>
      </w:r>
    </w:p>
    <w:p>
      <w:pPr>
        <w:pStyle w:val="style28"/>
        <w:ind w:firstLine="709" w:left="0" w:right="0"/>
      </w:pPr>
      <w:r>
        <w:rPr>
          <w:color w:val="000000"/>
          <w:sz w:val="24"/>
          <w:szCs w:val="24"/>
        </w:rPr>
        <w:t>4. Чувашскому республиканскому объединению организаций профсоюзов «Чувашрессовпроф»:</w:t>
      </w:r>
    </w:p>
    <w:p>
      <w:pPr>
        <w:pStyle w:val="style28"/>
        <w:ind w:firstLine="708" w:left="0" w:right="0"/>
      </w:pPr>
      <w:r>
        <w:rPr>
          <w:color w:val="000000"/>
          <w:sz w:val="24"/>
          <w:szCs w:val="24"/>
        </w:rPr>
        <w:t xml:space="preserve">совместно  с </w:t>
      </w:r>
      <w:r>
        <w:rPr>
          <w:sz w:val="24"/>
          <w:szCs w:val="24"/>
        </w:rPr>
        <w:t xml:space="preserve">Региональным объединением работодателей Чувашской Республики, </w:t>
      </w:r>
      <w:r>
        <w:rPr>
          <w:color w:val="000000"/>
          <w:sz w:val="24"/>
          <w:szCs w:val="24"/>
        </w:rPr>
        <w:t xml:space="preserve"> Торгово-промышленной палатой Чувашской Республики при заключении коллективных договоров включать в них обязательства работодателей своевременно и в полном объеме перечислять за работников  страховые взносы на обязательное пенсионное и медицинское страхование, обеспечивать персонифицированный учет и своевременное представление в органы ПФР отчетности;</w:t>
      </w:r>
    </w:p>
    <w:p>
      <w:pPr>
        <w:pStyle w:val="style28"/>
        <w:ind w:firstLine="708" w:left="0" w:right="0"/>
      </w:pPr>
      <w:r>
        <w:rPr>
          <w:sz w:val="24"/>
          <w:szCs w:val="24"/>
        </w:rPr>
        <w:t>инициировать через первичные профсоюзные организации участие работодателей  в софинансировании средств пенсионных накоплений своих работников.</w:t>
      </w:r>
    </w:p>
    <w:p>
      <w:pPr>
        <w:pStyle w:val="style28"/>
        <w:ind w:firstLine="708" w:left="0" w:right="0"/>
      </w:pPr>
      <w:r>
        <w:rPr>
          <w:sz w:val="24"/>
          <w:szCs w:val="24"/>
        </w:rPr>
        <w:t>5. Региональному объединению работодателей Чувашской Республики:</w:t>
      </w:r>
    </w:p>
    <w:p>
      <w:pPr>
        <w:pStyle w:val="style28"/>
        <w:ind w:firstLine="708" w:left="0" w:right="0"/>
      </w:pPr>
      <w:r>
        <w:rPr>
          <w:sz w:val="24"/>
          <w:szCs w:val="24"/>
        </w:rPr>
        <w:t xml:space="preserve">информировать работодателей о необходимости  своевременного и качественного представления отчетности в ПФР для обеспечения полноты учета пенсионных прав  застрахованных лиц; </w:t>
      </w:r>
    </w:p>
    <w:p>
      <w:pPr>
        <w:pStyle w:val="style28"/>
        <w:ind w:firstLine="708" w:left="0" w:right="0"/>
      </w:pPr>
      <w:r>
        <w:rPr>
          <w:sz w:val="24"/>
          <w:szCs w:val="24"/>
        </w:rPr>
        <w:t>обеспечить доведение работодателями до наемных работников об их правах и возможностях, представленных Федеральными законами от 30.04.2008 №56-ФЗ и от 30.11.2011 №360-ФЗ;</w:t>
      </w:r>
    </w:p>
    <w:p>
      <w:pPr>
        <w:pStyle w:val="style28"/>
        <w:ind w:firstLine="709" w:left="0" w:right="0"/>
      </w:pPr>
      <w:r>
        <w:rPr>
          <w:color w:val="000000"/>
          <w:sz w:val="24"/>
          <w:szCs w:val="24"/>
        </w:rPr>
        <w:t>организовать публикацию в корпоративных газетах разъяснительных материалов о возможностях увеличения будущей пенсии;</w:t>
      </w:r>
    </w:p>
    <w:p>
      <w:pPr>
        <w:pStyle w:val="style28"/>
        <w:ind w:firstLine="708" w:left="0" w:right="0"/>
      </w:pPr>
      <w:r>
        <w:rPr>
          <w:sz w:val="24"/>
          <w:szCs w:val="24"/>
        </w:rPr>
        <w:t>обеспечить сохранность работодателями документов по личному составу, необходимых для подтверждения пенсионных прав застрахованных лиц, в случае реорганизации или ликвидации организации своевременную передачу их на хранение в государственные  и муниципальные архивы или в другие организации, надлежаще оформившие уставные документы в соответствии  с законодательством Российской Федерации.</w:t>
      </w:r>
    </w:p>
    <w:p>
      <w:pPr>
        <w:pStyle w:val="style28"/>
        <w:jc w:val="center"/>
        <w:ind w:firstLine="709" w:left="0" w:right="0"/>
      </w:pPr>
      <w:r>
        <w:rPr>
          <w:sz w:val="24"/>
          <w:szCs w:val="24"/>
        </w:rPr>
      </w:r>
    </w:p>
    <w:p>
      <w:pPr>
        <w:pStyle w:val="style31"/>
        <w:ind w:firstLine="675" w:left="33" w:right="0"/>
      </w:pPr>
      <w:r>
        <w:rPr>
          <w:sz w:val="24"/>
          <w:szCs w:val="24"/>
        </w:rPr>
      </w:r>
    </w:p>
    <w:sectPr>
      <w:formProt w:val="off"/>
      <w:pgSz w:h="16838" w:w="11906"/>
      <w:docGrid w:charSpace="0" w:linePitch="24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header1.xml><?xml version="1.0" encoding="utf-8"?>
<w:hdr xmlns:w="http://schemas.openxmlformats.org/wordprocessingml/2006/main">
  <w:p>
    <w:pPr>
      <w:pStyle w:val="style32"/>
    </w:pPr>
    <w:r>
      <w:rPr/>
      <w:t>-</w:t>
    </w:r>
    <w:r>
      <w:fldChar w:fldCharType="begin"/>
    </w:r>
    <w:r>
      <w:rPr/>
      <w:fldChar w:fldCharType="begin"/>
    </w:r>
    <w:r>
      <w:instrText> PAGE </w:instrText>
    </w:r>
    <w:r>
      <w:fldChar w:fldCharType="separate"/>
    </w:r>
    <w:r>
      <w:t>3</w:t>
    </w:r>
    <w:r>
      <w:fldChar w:fldCharType="end"/>
    </w:r>
  </w:p>
</w:hdr>
</file>

<file path=word/numbering.xml><?xml version="1.0" encoding="utf-8"?>
<w:numbering xmlns:w="http://schemas.openxmlformats.org/wordprocessingml/2006/main">
  <w:abstractNum w:abstractNumId="1">
    <w:lvl w:ilvl="0">
      <w:start w:val="19"/>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pPr>
    <w:rPr>
      <w:color w:val="00000A"/>
      <w:sz w:val="24"/>
      <w:szCs w:val="24"/>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Основной текст с отступом 3 Знак"/>
    <w:basedOn w:val="style15"/>
    <w:next w:val="style16"/>
    <w:rPr/>
  </w:style>
  <w:style w:styleId="style17" w:type="character">
    <w:name w:val="Верхний колонтитул Знак"/>
    <w:basedOn w:val="style15"/>
    <w:next w:val="style17"/>
    <w:rPr/>
  </w:style>
  <w:style w:styleId="style18" w:type="character">
    <w:name w:val="Нижний колонтитул Знак"/>
    <w:basedOn w:val="style15"/>
    <w:next w:val="style18"/>
    <w:rPr/>
  </w:style>
  <w:style w:styleId="style19" w:type="character">
    <w:name w:val="Выделение жирным"/>
    <w:basedOn w:val="style15"/>
    <w:next w:val="style19"/>
    <w:rPr>
      <w:b/>
      <w:bCs/>
    </w:rPr>
  </w:style>
  <w:style w:styleId="style20" w:type="character">
    <w:name w:val="apple-converted-space"/>
    <w:basedOn w:val="style15"/>
    <w:next w:val="style20"/>
    <w:rPr/>
  </w:style>
  <w:style w:styleId="style21" w:type="character">
    <w:name w:val="ConsPlusNormal Знак"/>
    <w:basedOn w:val="style15"/>
    <w:next w:val="style21"/>
    <w:rPr/>
  </w:style>
  <w:style w:styleId="style22" w:type="paragraph">
    <w:name w:val="Заголовок"/>
    <w:basedOn w:val="style0"/>
    <w:next w:val="style23"/>
    <w:pPr>
      <w:keepNext/>
      <w:spacing w:after="120" w:before="240"/>
    </w:pPr>
    <w:rPr>
      <w:sz w:val="28"/>
      <w:szCs w:val="28"/>
      <w:rFonts w:ascii="Arial" w:cs="Mangal" w:eastAsia="Arial Unicode MS" w:hAnsi="Arial"/>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ascii="Arial" w:cs="Mangal" w:hAnsi="Arial"/>
    </w:rPr>
  </w:style>
  <w:style w:styleId="style25" w:type="paragraph">
    <w:name w:val="Название"/>
    <w:basedOn w:val="style0"/>
    <w:next w:val="style25"/>
    <w:pPr>
      <w:suppressLineNumbers/>
      <w:spacing w:after="120" w:before="120"/>
    </w:pPr>
    <w:rPr>
      <w:sz w:val="20"/>
      <w:i/>
      <w:szCs w:val="24"/>
      <w:iCs/>
      <w:rFonts w:ascii="Arial" w:cs="Mangal" w:hAnsi="Arial"/>
    </w:rPr>
  </w:style>
  <w:style w:styleId="style26" w:type="paragraph">
    <w:name w:val="Указатель"/>
    <w:basedOn w:val="style0"/>
    <w:next w:val="style26"/>
    <w:pPr>
      <w:suppressLineNumbers/>
    </w:pPr>
    <w:rPr>
      <w:rFonts w:ascii="Arial" w:cs="Mangal" w:hAnsi="Arial"/>
    </w:rPr>
  </w:style>
  <w:style w:styleId="style27" w:type="paragraph">
    <w:name w:val="List Paragraph"/>
    <w:basedOn w:val="style0"/>
    <w:next w:val="style27"/>
    <w:pPr/>
    <w:rPr/>
  </w:style>
  <w:style w:styleId="style28" w:type="paragraph">
    <w:name w:val="Основной текст 21"/>
    <w:basedOn w:val="style0"/>
    <w:next w:val="style28"/>
    <w:pPr/>
    <w:rPr/>
  </w:style>
  <w:style w:styleId="style29" w:type="paragraph">
    <w:name w:val="ConsPlusNonformat"/>
    <w:next w:val="style29"/>
    <w:pPr>
      <w:widowControl w:val="off"/>
      <w:tabs>
        <w:tab w:leader="none" w:pos="709" w:val="left"/>
      </w:tabs>
      <w:suppressAutoHyphens w:val="true"/>
    </w:pPr>
    <w:rPr>
      <w:color w:val="auto"/>
      <w:sz w:val="20"/>
      <w:szCs w:val="24"/>
      <w:rFonts w:ascii="Arial" w:cs="Mangal" w:eastAsia="Arial Unicode MS" w:hAnsi="Arial"/>
      <w:lang w:bidi="hi-IN" w:eastAsia="zh-CN" w:val="ru-RU"/>
    </w:rPr>
  </w:style>
  <w:style w:styleId="style30" w:type="paragraph">
    <w:name w:val="ConsPlusNormal"/>
    <w:next w:val="style30"/>
    <w:pPr>
      <w:widowControl w:val="off"/>
      <w:tabs>
        <w:tab w:leader="none" w:pos="709" w:val="left"/>
      </w:tabs>
      <w:suppressAutoHyphens w:val="true"/>
    </w:pPr>
    <w:rPr>
      <w:color w:val="auto"/>
      <w:sz w:val="20"/>
      <w:szCs w:val="24"/>
      <w:rFonts w:ascii="Arial" w:cs="Mangal" w:eastAsia="Arial Unicode MS" w:hAnsi="Arial"/>
      <w:lang w:bidi="hi-IN" w:eastAsia="zh-CN" w:val="ru-RU"/>
    </w:rPr>
  </w:style>
  <w:style w:styleId="style31" w:type="paragraph">
    <w:name w:val="Body Text Indent 3"/>
    <w:basedOn w:val="style0"/>
    <w:next w:val="style31"/>
    <w:pPr/>
    <w:rPr/>
  </w:style>
  <w:style w:styleId="style32" w:type="paragraph">
    <w:name w:val="Верхний колонтитул"/>
    <w:basedOn w:val="style0"/>
    <w:next w:val="style32"/>
    <w:pPr>
      <w:tabs>
        <w:tab w:leader="none" w:pos="4677" w:val="center"/>
        <w:tab w:leader="none" w:pos="9355" w:val="right"/>
      </w:tabs>
      <w:suppressLineNumbers/>
    </w:pPr>
    <w:rPr/>
  </w:style>
  <w:style w:styleId="style33" w:type="paragraph">
    <w:name w:val="Нижний колонтитул"/>
    <w:basedOn w:val="style0"/>
    <w:next w:val="style33"/>
    <w:pPr>
      <w:tabs>
        <w:tab w:leader="none" w:pos="4677" w:val="center"/>
        <w:tab w:leader="none" w:pos="9355" w:val="right"/>
      </w:tabs>
      <w:suppressLineNumbers/>
    </w:pPr>
    <w:rPr/>
  </w:style>
  <w:style w:styleId="style34" w:type="paragraph">
    <w:name w:val="Normal (Web)"/>
    <w:basedOn w:val="style0"/>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329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2012-06-14T09:37:00.00Z</dcterms:created>
  <dc:creator>soc50</dc:creator>
  <cp:lastModifiedBy>soc50</cp:lastModifiedBy>
  <cp:lastPrinted>2012-06-15T09:03:00.00Z</cp:lastPrinted>
  <dcterms:modified xsi:type="dcterms:W3CDTF">2012-06-18T06:42:00.00Z</dcterms:modified>
  <cp:revision>190</cp:revision>
</cp:coreProperties>
</file>