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288" w:lineRule="atLeast"/>
      </w:pPr>
      <w:r>
        <w:rPr>
          <w:sz w:val="24"/>
          <w:b/>
          <w:szCs w:val="24"/>
        </w:rPr>
        <w:t xml:space="preserve">Информация на заседание </w:t>
      </w:r>
    </w:p>
    <w:p>
      <w:pPr>
        <w:pStyle w:val="style0"/>
        <w:jc w:val="center"/>
        <w:spacing w:line="288" w:lineRule="atLeast"/>
      </w:pPr>
      <w:r>
        <w:rPr>
          <w:sz w:val="24"/>
          <w:b/>
          <w:szCs w:val="24"/>
        </w:rPr>
        <w:t xml:space="preserve">Республиканской трехсторонней комиссии по регулированию </w:t>
      </w:r>
    </w:p>
    <w:p>
      <w:pPr>
        <w:pStyle w:val="style0"/>
        <w:jc w:val="center"/>
        <w:spacing w:line="288" w:lineRule="atLeast"/>
      </w:pPr>
      <w:r>
        <w:rPr>
          <w:sz w:val="24"/>
          <w:b/>
          <w:szCs w:val="24"/>
        </w:rPr>
        <w:t>социально-трудовых отношений</w:t>
      </w:r>
    </w:p>
    <w:p>
      <w:pPr>
        <w:pStyle w:val="style0"/>
        <w:jc w:val="center"/>
        <w:ind w:hanging="0" w:left="360" w:right="0"/>
        <w:spacing w:line="288" w:lineRule="atLeast"/>
      </w:pPr>
      <w:r>
        <w:rPr>
          <w:sz w:val="24"/>
          <w:szCs w:val="24"/>
        </w:rPr>
      </w:r>
    </w:p>
    <w:p>
      <w:pPr>
        <w:pStyle w:val="style27"/>
        <w:numPr>
          <w:ilvl w:val="0"/>
          <w:numId w:val="2"/>
        </w:numPr>
        <w:jc w:val="center"/>
        <w:spacing w:line="288" w:lineRule="atLeast"/>
      </w:pPr>
      <w:r>
        <w:rPr>
          <w:sz w:val="24"/>
          <w:b/>
          <w:szCs w:val="24"/>
        </w:rPr>
        <w:t>июня 2012 г.</w:t>
      </w:r>
    </w:p>
    <w:p>
      <w:pPr>
        <w:pStyle w:val="style0"/>
        <w:jc w:val="both"/>
      </w:pPr>
      <w:r>
        <w:rPr>
          <w:sz w:val="24"/>
          <w:b/>
          <w:szCs w:val="24"/>
          <w:bCs/>
        </w:rPr>
        <w:t xml:space="preserve">                </w:t>
      </w:r>
    </w:p>
    <w:p>
      <w:pPr>
        <w:pStyle w:val="style28"/>
        <w:jc w:val="center"/>
        <w:ind w:firstLine="709" w:left="0" w:right="0"/>
      </w:pPr>
      <w:r>
        <w:rPr>
          <w:sz w:val="24"/>
          <w:szCs w:val="24"/>
        </w:rPr>
      </w:r>
    </w:p>
    <w:p>
      <w:pPr>
        <w:pStyle w:val="style31"/>
        <w:ind w:firstLine="675" w:left="33" w:right="0"/>
      </w:pPr>
      <w:r>
        <w:rPr>
          <w:sz w:val="24"/>
          <w:b/>
          <w:szCs w:val="24"/>
        </w:rPr>
        <w:t>Вопрос 2. Об уровне оплаты труда в городах и районах республики, отраслях экономики и бюджетной сфере.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По данным Чувашстата среднемесячная номинальная начисленная заработная плата работников организаций Чувашской Республики в январе - апреле 2012 года составила 15669,3 рубля и по сравнению с соответствующим периодом 2011 года увеличилась на 17,4 %. В апреле 2012 года по сравнению с апрелем 2011 года средняя заработная плата увеличилась на 18,9 % и составила 16320,0 рублей.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Реальная заработная плата, рассчитанная с учетом индекса потребительских цен, в январе - апреле 2012 года составила 114,1 % к январю - апрелю 2011 года, в апреле 2012 года – 116,2 % к апрелю 2011 года.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По итогам за январь - апрель 2012 года среди регионов Приволжского федерального округа по размеру среднемесячной номинальной начисленной заработной платы Чувашская Республика занимает одиннадцатое место. Ниже, чем в Чувашской Республике, среднемесячная заработная плата в Республиках Марий Эл (14566,3 рубля) и Мордовия (13676,6 рубля), Кировской области (15476,0 рубля).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Вместе с тем, по темпам роста среднемесячной номинальной начисленной заработной платы Чувашская Республика занимает третье место среди субъектов Приволжского федерального округа после Республики Татарстан (119,9 %) и Удмуртской Республики (117,6 %).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По росту реальной начисленной заработной платы в январе-апреле 2012 г. Чувашская Республика занимает третье место после Республики Татарстан (116,7 %) и Пензенской области (116,5 %). 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В разрезе муниципальных районов и городских округов  в январе-апреле 2012 года наиболее высокая среднемесячная начисленная заработная плата относительно среднереспубликанского уровня сложилась в г. Чебоксары (114,9%), Красноармейском районе (113,5%), г. Канаш (104,9%).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В Алатырском районе заработная плата ниже среднереспубликанской на 44,1%, Козловском районе – на 38,9%, Яльчикском районе – на 34,5%, Янтиковском районе – на 33,8%, Батыревском районе – на 33,4%.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   </w:t>
      </w:r>
    </w:p>
    <w:p>
      <w:pPr>
        <w:pStyle w:val="style0"/>
        <w:jc w:val="both"/>
        <w:ind w:firstLine="708" w:left="0" w:right="0"/>
      </w:pPr>
      <w:r>
        <w:rPr>
          <w:sz w:val="24"/>
          <w:i/>
          <w:szCs w:val="24"/>
        </w:rPr>
        <w:t xml:space="preserve">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По видам экономической деятельности в январе - апреле 2012 года наиболее высокая заработная плата относительно среднереспубликанского уровня сложилась в научных исследованиях и разработках (выше в 2,2 раза), финансовой деятельности (выше в 1,9 раза), производстве электронного и оптического оборудования (выше в 1,6 раза), социальном страховании (выше в 1,5 раза), производстве транспортных средств и оборудования (выше в 1,2 раза).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В текстильном и швейном производстве заработная плата ниже среднереспубликанской на 48,7 %, в сельском хозяйстве, охоте и лесном хозяйстве – на 45,7 %, в рыболовстве и рыбоводстве – на 38,9 %, в деятельности по организации отдыха и развлечений, культуры и спорта – на  34,4 %, в гостиницах и ресторанах – на 31,7 %.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Наибольший рост среднемесячной заработной платы в январе - апреле 2012 года к соответствующему периоду предыдущего года отмечен в следующих видах экономической деятельности: рыболовство, рыбоводство (на 41,5 %), добыча полезных ископаемых (на 34,4 %), обработка древесины и производство изделий из дерева (на 35,3 %), деятельность по организации отдыха и развлечений, культуры и спорта (на 26,0 %), полиграфическая деятельность (на 25,4 %), социальное страхование (на 24,8 %), образование (на        24,1 %), гостиницы и рестораны (на 24,1 %).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В номинальном выражении наибольшая среднемесячная заработная плата отмечена в научных исследованиях и разработках (34279,3 рубля), финансовой деятельности (29290,5 рубля), производстве электрооборудования, электронного и оптического оборудования (24973,9 рубля), социальном страховании (22915,8 рубля); а наименьшая  – в текстильном и швейном производстве (8045,7 рубля), сельском хозяйстве, охоте и лесном хозяйстве (8508,1 рубля), рыболовстве, рыбоводстве (9566,5 рубля), деятельности по организации отдыха и развлечений, культуры и спорта (10271,7 рубля).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В обрабатывающих производствах наибольшая заработная плата сложилась на предприятиях производства электрооборудования, электронного и оптического оборудования – 24973,9 рубля, наименьшая – на предприятиях текстильного и швейного производства – 8045,7 рубля, что в 2,1 раза меньше, чем заработная плата в целом по обрабатывающим производствам (16708,8 рубля).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В образовании среднемесячная начисленная заработная плата в январе-апреле 2012 года составила 12059,4 рубля (рост на 24,1 % к январю-апрелю 2011 года, 77 % к уровню оплаты труда в среднем по республике). Среди субъектов Приволжского федерального округа  Чувашия опередила по уровню оплаты труда в образовании республики Марий Эл (10993,7 рубля), Мордовия (10569,1 рубля), Удмуртскую Республику (11888,4 рубля), Кировскую область (11699,4 рубля), Оренбургскую область (11377,8 рубля), Ульяновскую область (11870,1 рубля).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В здравоохранении и предоставлении социальных услуг среднемесячная начисленная заработная плата в январе-апреле 2012 года составила 12353,7 рубля (рост на 20,6 % к январю-апрелю 2011 года, 78,8 % к уровню оплаты труда в среднем по республике). Среди субъектов Приволжского федерального округа  Чувашия опередила по уровню оплаты труда в здравоохранении и предоставлении социальных услуг республики Марий Эл (9919,9 рубля), Мордовия (11018,2 рубля), Оренбургскую область (11575,6 рубля).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В предоставлении прочих коммунальных, социальных и персональных услуг среднемесячная начисленная заработная плата в январе-апреле 2012 года составила 11233,5 рубля (рост на 24,5 %, 71,7 % к уровню оплаты труда в среднем по республике), в том числе в деятельности по организации отдыха и развлечений, культуры и спорта среднемесячная начисленная заработная плата составила 10271,7 рубля (рост на 26,0 %, 65,6 % к уровню оплаты труда в среднем по республике). Среди субъектов Приволжского федерального округа  Чувашия опередила по уровню оплаты труда в предоставлении прочих коммунальных, социальных и персональных услуг республики Марий Эл (10077,5 рубля) и Мордовия (10316,7 рубля), в деятельности по организации отдыха и развлечений, культуры и спорта – Республику Марий Эл (9245,3 рубля).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В январе - апреле 2012 года наиболее высокий уровень среднемесячной начисленной  заработной платы работников организаций, не относящихся к субъектам малого предпринимательства, сложился в г. Чебоксары (19023,9 рубля, рост на 17,2 % к соответствующему периоду 2011 года), наиболее низкий – в Алатырском районе (9259,7 рубля, рост на 21,4 %). 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</w:r>
    </w:p>
    <w:p>
      <w:pPr>
        <w:pStyle w:val="style0"/>
        <w:jc w:val="both"/>
        <w:ind w:firstLine="426" w:left="0" w:right="0"/>
      </w:pPr>
      <w:r>
        <w:rPr>
          <w:sz w:val="24"/>
          <w:i/>
          <w:szCs w:val="24"/>
        </w:rPr>
        <w:t xml:space="preserve">       </w:t>
      </w:r>
      <w:r>
        <w:rPr>
          <w:sz w:val="24"/>
          <w:i/>
          <w:szCs w:val="24"/>
        </w:rPr>
        <w:t>Предложения в проект  решения Комиссии:</w:t>
      </w:r>
    </w:p>
    <w:p>
      <w:pPr>
        <w:pStyle w:val="style27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Сторонам социального партнерства принять меры, направленные на: </w:t>
      </w:r>
    </w:p>
    <w:p>
      <w:pPr>
        <w:pStyle w:val="style0"/>
        <w:jc w:val="both"/>
        <w:ind w:firstLine="851" w:left="0" w:right="0"/>
      </w:pPr>
      <w:r>
        <w:rPr>
          <w:sz w:val="24"/>
          <w:szCs w:val="24"/>
        </w:rPr>
        <w:t>создание высокотехнологичных рабочих мест, обеспечивающих привлекательные условия оплаты труда работников реального сектора экономики;</w:t>
      </w:r>
    </w:p>
    <w:p>
      <w:pPr>
        <w:pStyle w:val="style0"/>
        <w:jc w:val="both"/>
        <w:ind w:firstLine="851" w:left="0" w:right="0"/>
      </w:pPr>
      <w:r>
        <w:rPr>
          <w:sz w:val="24"/>
          <w:szCs w:val="24"/>
        </w:rPr>
        <w:t>обеспечение роста оплаты труда работников организаций республики с учетом роста производительности труда, внедрения передовых технологий, темпов инфляции, повышения квалификации работников, расширения портфеля заказов и улучшения финансового состояния организаций;</w:t>
      </w:r>
    </w:p>
    <w:p>
      <w:pPr>
        <w:pStyle w:val="style0"/>
        <w:jc w:val="both"/>
        <w:ind w:firstLine="851" w:left="0" w:right="0"/>
      </w:pPr>
      <w:r>
        <w:rPr>
          <w:sz w:val="24"/>
          <w:szCs w:val="24"/>
        </w:rPr>
        <w:t>поэтапное повышение оплаты труда работников бюджетной сферы в соответствии с Указами Президента Российской Федерации от 7 мая 2012 года.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2. В целях улучшения социально-экономического положения населения Чувашской Республики рекомендовать сторонам социального партнерства проработать вопрос о подготовке Соглашения о минимальной заработной плате в Чувашской Республике на уровне прожиточного минимума трудоспособного населения Чувашской Республики.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>3. Профсоюзным организациям Чувашской Республики обеспечить контроль и защиту прав работников в части своевременной выплаты заработной платы.</w:t>
      </w:r>
    </w:p>
    <w:p>
      <w:pPr>
        <w:pStyle w:val="style0"/>
        <w:jc w:val="both"/>
        <w:ind w:firstLine="708" w:left="0" w:right="0"/>
      </w:pPr>
      <w:r>
        <w:rPr>
          <w:sz w:val="24"/>
          <w:szCs w:val="24"/>
        </w:rPr>
        <w:t xml:space="preserve">4. Региональному объединению работодателей принять меры по недопущению роста задолженности по заработной плате. </w:t>
      </w:r>
    </w:p>
    <w:p>
      <w:pPr>
        <w:pStyle w:val="style28"/>
        <w:jc w:val="center"/>
        <w:ind w:firstLine="709" w:left="0" w:right="0"/>
      </w:pPr>
      <w:r>
        <w:rPr>
          <w:sz w:val="24"/>
          <w:szCs w:val="24"/>
        </w:rPr>
      </w:r>
    </w:p>
    <w:p>
      <w:pPr>
        <w:pStyle w:val="style28"/>
        <w:jc w:val="center"/>
        <w:ind w:firstLine="709" w:left="0" w:right="0"/>
      </w:pPr>
      <w:r>
        <w:rPr>
          <w:sz w:val="24"/>
          <w:szCs w:val="24"/>
        </w:rPr>
      </w:r>
    </w:p>
    <w:p>
      <w:pPr>
        <w:pStyle w:val="style0"/>
        <w:jc w:val="both"/>
        <w:ind w:firstLine="748" w:left="0" w:right="0"/>
      </w:pPr>
      <w:r>
        <w:rPr>
          <w:sz w:val="24"/>
          <w:szCs w:val="24"/>
        </w:rPr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header1.xml><?xml version="1.0" encoding="utf-8"?>
<w:hdr xmlns:w="http://schemas.openxmlformats.org/wordprocessingml/2006/main">
  <w:p>
    <w:pPr>
      <w:pStyle w:val="style32"/>
    </w:pPr>
    <w:r>
      <w:rPr/>
      <w:t>-</w:t>
    </w: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1211"/>
      </w:pPr>
    </w:lvl>
    <w:lvl w:ilvl="1">
      <w:start w:val="1"/>
      <w:numFmt w:val="lowerLetter"/>
      <w:lvlJc w:val="left"/>
      <w:lvlText w:val="%2."/>
      <w:pPr>
        <w:ind w:hanging="360" w:left="1931"/>
      </w:pPr>
    </w:lvl>
    <w:lvl w:ilvl="2">
      <w:start w:val="1"/>
      <w:numFmt w:val="lowerRoman"/>
      <w:lvlJc w:val="right"/>
      <w:lvlText w:val="%2.%3."/>
      <w:pPr>
        <w:ind w:hanging="180" w:left="2651"/>
      </w:pPr>
    </w:lvl>
    <w:lvl w:ilvl="3">
      <w:start w:val="1"/>
      <w:numFmt w:val="decimal"/>
      <w:lvlJc w:val="left"/>
      <w:lvlText w:val="%2.%3.%4."/>
      <w:pPr>
        <w:ind w:hanging="360" w:left="3371"/>
      </w:pPr>
    </w:lvl>
    <w:lvl w:ilvl="4">
      <w:start w:val="1"/>
      <w:numFmt w:val="lowerLetter"/>
      <w:lvlJc w:val="left"/>
      <w:lvlText w:val="%2.%3.%4.%5."/>
      <w:pPr>
        <w:ind w:hanging="360" w:left="4091"/>
      </w:pPr>
    </w:lvl>
    <w:lvl w:ilvl="5">
      <w:start w:val="1"/>
      <w:numFmt w:val="lowerRoman"/>
      <w:lvlJc w:val="right"/>
      <w:lvlText w:val="%2.%3.%4.%5.%6."/>
      <w:pPr>
        <w:ind w:hanging="180" w:left="4811"/>
      </w:pPr>
    </w:lvl>
    <w:lvl w:ilvl="6">
      <w:start w:val="1"/>
      <w:numFmt w:val="decimal"/>
      <w:lvlJc w:val="left"/>
      <w:lvlText w:val="%2.%3.%4.%5.%6.%7."/>
      <w:pPr>
        <w:ind w:hanging="360" w:left="5531"/>
      </w:pPr>
    </w:lvl>
    <w:lvl w:ilvl="7">
      <w:start w:val="1"/>
      <w:numFmt w:val="lowerLetter"/>
      <w:lvlJc w:val="left"/>
      <w:lvlText w:val="%2.%3.%4.%5.%6.%7.%8."/>
      <w:pPr>
        <w:ind w:hanging="360" w:left="6251"/>
      </w:pPr>
    </w:lvl>
    <w:lvl w:ilvl="8">
      <w:start w:val="1"/>
      <w:numFmt w:val="lowerRoman"/>
      <w:lvlJc w:val="right"/>
      <w:lvlText w:val="%2.%3.%4.%5.%6.%7.%8.%9."/>
      <w:pPr>
        <w:ind w:hanging="180" w:left="6971"/>
      </w:pPr>
    </w:lvl>
  </w:abstractNum>
  <w:abstractNum w:abstractNumId="2">
    <w:lvl w:ilvl="0">
      <w:start w:val="19"/>
      <w:numFmt w:val="decimal"/>
      <w:lvlJc w:val="left"/>
      <w:lvlText w:val="%1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3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ConsPlusNormal Знак"/>
    <w:basedOn w:val="style15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Mangal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Mangal" w:hAnsi="Arial"/>
    </w:rPr>
  </w:style>
  <w:style w:styleId="style27" w:type="paragraph">
    <w:name w:val="List Paragraph"/>
    <w:basedOn w:val="style0"/>
    <w:next w:val="style27"/>
    <w:pPr/>
    <w:rPr/>
  </w:style>
  <w:style w:styleId="style28" w:type="paragraph">
    <w:name w:val="Основной текст 21"/>
    <w:basedOn w:val="style0"/>
    <w:next w:val="style28"/>
    <w:pPr/>
    <w:rPr/>
  </w:style>
  <w:style w:styleId="style29" w:type="paragraph">
    <w:name w:val="ConsPlusNonformat"/>
    <w:next w:val="style29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Arial Unicode MS" w:hAnsi="Arial"/>
      <w:lang w:bidi="hi-IN" w:eastAsia="zh-CN" w:val="ru-RU"/>
    </w:rPr>
  </w:style>
  <w:style w:styleId="style30" w:type="paragraph">
    <w:name w:val="ConsPlusNormal"/>
    <w:next w:val="style30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Arial Unicode MS" w:hAnsi="Arial"/>
      <w:lang w:bidi="hi-IN" w:eastAsia="zh-CN" w:val="ru-RU"/>
    </w:rPr>
  </w:style>
  <w:style w:styleId="style31" w:type="paragraph">
    <w:name w:val="Body Text Indent 3"/>
    <w:basedOn w:val="style0"/>
    <w:next w:val="style31"/>
    <w:pPr/>
    <w:rPr/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</w:pPr>
    <w:rPr/>
  </w:style>
  <w:style w:styleId="style34" w:type="paragraph">
    <w:name w:val="Normal (Web)"/>
    <w:basedOn w:val="style0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2012-06-14T09:37:00.00Z</dcterms:created>
  <dc:creator>soc50</dc:creator>
  <cp:lastModifiedBy>soc50</cp:lastModifiedBy>
  <cp:lastPrinted>2012-06-15T09:03:00.00Z</cp:lastPrinted>
  <dcterms:modified xsi:type="dcterms:W3CDTF">2012-06-18T06:42:00.00Z</dcterms:modified>
  <cp:revision>190</cp:revision>
</cp:coreProperties>
</file>