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6B" w:rsidRPr="00CC73AA" w:rsidRDefault="007848B0" w:rsidP="00E01C55">
      <w:pPr>
        <w:spacing w:after="0" w:line="240" w:lineRule="auto"/>
        <w:ind w:right="-285"/>
        <w:jc w:val="center"/>
        <w:rPr>
          <w:rFonts w:ascii="Arial" w:hAnsi="Arial" w:cs="Arial"/>
          <w:b/>
          <w:sz w:val="20"/>
          <w:szCs w:val="20"/>
        </w:rPr>
      </w:pPr>
      <w:r w:rsidRPr="00CC73AA">
        <w:rPr>
          <w:rFonts w:ascii="Arial" w:hAnsi="Arial" w:cs="Arial"/>
          <w:b/>
          <w:sz w:val="20"/>
          <w:szCs w:val="20"/>
        </w:rPr>
        <w:t>Перечень</w:t>
      </w:r>
      <w:bookmarkStart w:id="0" w:name="_GoBack"/>
      <w:bookmarkEnd w:id="0"/>
    </w:p>
    <w:p w:rsidR="00DA1B0C" w:rsidRPr="00CC73AA" w:rsidRDefault="00DA1B0C" w:rsidP="00E01C55">
      <w:pPr>
        <w:spacing w:after="0" w:line="240" w:lineRule="auto"/>
        <w:ind w:right="-285"/>
        <w:jc w:val="center"/>
        <w:rPr>
          <w:rFonts w:ascii="Arial" w:hAnsi="Arial" w:cs="Arial"/>
          <w:b/>
          <w:sz w:val="20"/>
          <w:szCs w:val="20"/>
        </w:rPr>
      </w:pPr>
      <w:r w:rsidRPr="00CC73AA">
        <w:rPr>
          <w:rFonts w:ascii="Arial" w:hAnsi="Arial" w:cs="Arial"/>
          <w:b/>
          <w:sz w:val="20"/>
          <w:szCs w:val="20"/>
        </w:rPr>
        <w:t xml:space="preserve">региональных </w:t>
      </w:r>
      <w:r w:rsidR="00CE3C2D" w:rsidRPr="00CC73AA">
        <w:rPr>
          <w:rFonts w:ascii="Arial" w:hAnsi="Arial" w:cs="Arial"/>
          <w:b/>
          <w:sz w:val="20"/>
          <w:szCs w:val="20"/>
        </w:rPr>
        <w:t>мер</w:t>
      </w:r>
      <w:r w:rsidR="007848B0" w:rsidRPr="00CC73AA">
        <w:rPr>
          <w:rFonts w:ascii="Arial" w:hAnsi="Arial" w:cs="Arial"/>
          <w:b/>
          <w:sz w:val="20"/>
          <w:szCs w:val="20"/>
        </w:rPr>
        <w:t xml:space="preserve"> государственной под</w:t>
      </w:r>
      <w:r w:rsidRPr="00CC73AA">
        <w:rPr>
          <w:rFonts w:ascii="Arial" w:hAnsi="Arial" w:cs="Arial"/>
          <w:b/>
          <w:sz w:val="20"/>
          <w:szCs w:val="20"/>
        </w:rPr>
        <w:t>держки</w:t>
      </w:r>
      <w:r w:rsidR="00C3783A" w:rsidRPr="00CC73AA">
        <w:rPr>
          <w:rFonts w:ascii="Arial" w:hAnsi="Arial" w:cs="Arial"/>
          <w:b/>
          <w:sz w:val="20"/>
          <w:szCs w:val="20"/>
        </w:rPr>
        <w:t>, оказываемых</w:t>
      </w:r>
    </w:p>
    <w:p w:rsidR="007848B0" w:rsidRPr="00CC73AA" w:rsidRDefault="00C3783A" w:rsidP="00E01C55">
      <w:pPr>
        <w:pStyle w:val="Standard"/>
        <w:spacing w:after="0" w:line="240" w:lineRule="auto"/>
        <w:ind w:right="-285"/>
        <w:jc w:val="center"/>
        <w:rPr>
          <w:rFonts w:ascii="Arial" w:hAnsi="Arial" w:cs="Arial"/>
          <w:b/>
          <w:sz w:val="20"/>
          <w:szCs w:val="20"/>
        </w:rPr>
      </w:pPr>
      <w:r w:rsidRPr="00CC73AA">
        <w:rPr>
          <w:rFonts w:ascii="Arial" w:hAnsi="Arial" w:cs="Arial"/>
          <w:b/>
          <w:sz w:val="20"/>
          <w:szCs w:val="20"/>
        </w:rPr>
        <w:t>АУ ЧР «Фонд развития промышленности и инвестиционной деятельности в Чувашской Республике» Минэкономразвития Чувашии</w:t>
      </w:r>
    </w:p>
    <w:p w:rsidR="00C3783A" w:rsidRPr="00CC73AA" w:rsidRDefault="00C3783A" w:rsidP="00E01C5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98" w:type="pct"/>
        <w:tblInd w:w="250" w:type="dxa"/>
        <w:tblLook w:val="04A0" w:firstRow="1" w:lastRow="0" w:firstColumn="1" w:lastColumn="0" w:noHBand="0" w:noVBand="1"/>
      </w:tblPr>
      <w:tblGrid>
        <w:gridCol w:w="9997"/>
      </w:tblGrid>
      <w:tr w:rsidR="00D05FC8" w:rsidRPr="00CC73AA" w:rsidTr="00A901C5">
        <w:tc>
          <w:tcPr>
            <w:tcW w:w="5000" w:type="pct"/>
          </w:tcPr>
          <w:p w:rsidR="005C302E" w:rsidRPr="00CC73AA" w:rsidRDefault="00D05FC8" w:rsidP="00E01C55">
            <w:pPr>
              <w:pStyle w:val="ConsPlusTitle"/>
              <w:jc w:val="both"/>
              <w:rPr>
                <w:rFonts w:ascii="Arial" w:hAnsi="Arial" w:cs="Arial"/>
                <w:sz w:val="20"/>
              </w:rPr>
            </w:pPr>
            <w:r w:rsidRPr="00CC73AA">
              <w:rPr>
                <w:rFonts w:ascii="Arial" w:hAnsi="Arial" w:cs="Arial"/>
                <w:sz w:val="20"/>
              </w:rPr>
              <w:t>Государственная поддержка, оказываемая АУ ЧР «Фонд развития промышленности и инвестиционной деятельности в Чувашской Республике» Минэкономразвития Чувашии, в виде</w:t>
            </w:r>
            <w:r w:rsidR="00E4416B" w:rsidRPr="00CC73AA">
              <w:rPr>
                <w:rFonts w:ascii="Arial" w:hAnsi="Arial" w:cs="Arial"/>
                <w:sz w:val="20"/>
              </w:rPr>
              <w:t>:</w:t>
            </w:r>
          </w:p>
        </w:tc>
      </w:tr>
      <w:tr w:rsidR="008C24BD" w:rsidRPr="00CC73AA" w:rsidTr="00A901C5">
        <w:tc>
          <w:tcPr>
            <w:tcW w:w="5000" w:type="pct"/>
          </w:tcPr>
          <w:p w:rsidR="008C24BD" w:rsidRPr="00CC73AA" w:rsidRDefault="008C24BD" w:rsidP="00E01C55">
            <w:pPr>
              <w:pStyle w:val="ConsPlusTitle"/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:rsidR="00E4416B" w:rsidRPr="00CC73AA" w:rsidRDefault="008C24BD" w:rsidP="00E01C55">
            <w:pPr>
              <w:pStyle w:val="ConsPlusTitle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CC73AA">
              <w:rPr>
                <w:rFonts w:ascii="Arial" w:hAnsi="Arial" w:cs="Arial"/>
                <w:sz w:val="20"/>
              </w:rPr>
              <w:t>ЗАЙМОВ НА РЕАЛИЗАЦИЮ ПРОЕКТОВ В СФЕРЕ РАЗВИТИЯ ПРОМЫШЛЕННОСТИ</w:t>
            </w:r>
            <w:r w:rsidR="00E4416B" w:rsidRPr="00CC73AA">
              <w:rPr>
                <w:rFonts w:ascii="Arial" w:hAnsi="Arial" w:cs="Arial"/>
                <w:sz w:val="20"/>
              </w:rPr>
              <w:t>:</w:t>
            </w:r>
          </w:p>
          <w:p w:rsidR="008C24BD" w:rsidRPr="00CC73AA" w:rsidRDefault="00E4416B" w:rsidP="00E01C55">
            <w:pPr>
              <w:pStyle w:val="ConsPlusTitle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CC73AA">
              <w:rPr>
                <w:rFonts w:ascii="Arial" w:hAnsi="Arial" w:cs="Arial"/>
                <w:b w:val="0"/>
                <w:i/>
                <w:sz w:val="20"/>
              </w:rPr>
              <w:t>(</w:t>
            </w:r>
            <w:r w:rsidRPr="00CC73AA">
              <w:rPr>
                <w:rFonts w:ascii="Arial" w:eastAsia="SimSun" w:hAnsi="Arial" w:cs="Arial"/>
                <w:b w:val="0"/>
                <w:i/>
                <w:color w:val="000000"/>
                <w:kern w:val="2"/>
                <w:sz w:val="20"/>
                <w:lang w:eastAsia="hi-IN" w:bidi="hi-IN"/>
              </w:rPr>
              <w:t>Порядок предоставления утвержден Наблюдательным советом 20 апреля 2017 года</w:t>
            </w:r>
            <w:r w:rsidRPr="00CC73AA">
              <w:rPr>
                <w:rFonts w:ascii="Arial" w:hAnsi="Arial" w:cs="Arial"/>
                <w:b w:val="0"/>
                <w:i/>
                <w:sz w:val="20"/>
              </w:rPr>
              <w:t>)</w:t>
            </w:r>
          </w:p>
          <w:p w:rsidR="008C24BD" w:rsidRPr="00CC73AA" w:rsidRDefault="008C24BD" w:rsidP="00E01C55">
            <w:pPr>
              <w:pStyle w:val="ConsPlusTitle"/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24BD" w:rsidRPr="00CC73AA" w:rsidTr="00A901C5">
        <w:tc>
          <w:tcPr>
            <w:tcW w:w="5000" w:type="pct"/>
          </w:tcPr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Заем может быть направлен на реализацию следующих мероприятий: </w:t>
            </w:r>
          </w:p>
          <w:p w:rsidR="008C24BD" w:rsidRPr="00CC73AA" w:rsidRDefault="008C24BD" w:rsidP="00E01C55">
            <w:pPr>
              <w:pStyle w:val="af"/>
              <w:numPr>
                <w:ilvl w:val="0"/>
                <w:numId w:val="3"/>
              </w:numPr>
              <w:suppressAutoHyphens/>
              <w:spacing w:after="0" w:line="240" w:lineRule="auto"/>
              <w:ind w:left="743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разработка нового продукта (технологии),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включая: 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74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опытно-конструкторские и опытно-технологические работы;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74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технические, производственно-технологические, маркетинговые тестирования и испытания;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74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проведение патентных исследований (на патентную чистоту, выявление охраноспособных решений и др.), патентование разработанных решений, в том числе зарубежное патентование;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74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74"/>
              <w:jc w:val="both"/>
              <w:rPr>
                <w:rFonts w:ascii="Arial" w:eastAsia="SimSun" w:hAnsi="Arial" w:cs="Arial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 xml:space="preserve">приобретение расходных материалов для проведения мероприятий, предусмотренных настоящим пунктом, в том числе, сырья и ресурсов для выпуска опытных, опытно-промышленных партий, испытаний оборудования и технологии до запуска в серийное производство – </w:t>
            </w:r>
            <w:r w:rsidRPr="00CC73AA">
              <w:rPr>
                <w:rFonts w:ascii="Arial" w:eastAsia="SimSun" w:hAnsi="Arial" w:cs="Arial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  <w:t>в объеме до 20% от суммы займа;</w:t>
            </w:r>
          </w:p>
          <w:p w:rsidR="008C24BD" w:rsidRPr="00CC73AA" w:rsidRDefault="008C24BD" w:rsidP="00E01C55">
            <w:pPr>
              <w:pStyle w:val="af"/>
              <w:numPr>
                <w:ilvl w:val="0"/>
                <w:numId w:val="3"/>
              </w:numPr>
              <w:suppressAutoHyphens/>
              <w:spacing w:after="0" w:line="240" w:lineRule="auto"/>
              <w:ind w:left="35" w:firstLine="425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приобретение или использование специального оборудования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для проведения необходимых опытно-конструкторских работ и отработки технологии, включая создание опытно-промышленных установок;</w:t>
            </w:r>
          </w:p>
          <w:p w:rsidR="008C24BD" w:rsidRPr="00CC73AA" w:rsidRDefault="008C24BD" w:rsidP="00E01C55">
            <w:pPr>
              <w:pStyle w:val="af"/>
              <w:numPr>
                <w:ilvl w:val="0"/>
                <w:numId w:val="3"/>
              </w:numPr>
              <w:suppressAutoHyphens/>
              <w:spacing w:after="0" w:line="240" w:lineRule="auto"/>
              <w:ind w:left="35" w:firstLine="425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разработка технико-экономического обоснования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инвестиционной стадии проекта, прединвести</w:t>
            </w:r>
            <w:r w:rsidR="00E4416B"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-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ционный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ISO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9000, 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LEAN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и пр.);</w:t>
            </w:r>
          </w:p>
          <w:p w:rsidR="008C24BD" w:rsidRPr="00CC73AA" w:rsidRDefault="008C24BD" w:rsidP="00E01C55">
            <w:pPr>
              <w:pStyle w:val="af"/>
              <w:numPr>
                <w:ilvl w:val="0"/>
                <w:numId w:val="3"/>
              </w:numPr>
              <w:suppressAutoHyphens/>
              <w:spacing w:after="0" w:line="240" w:lineRule="auto"/>
              <w:ind w:left="35" w:firstLine="425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приобретение прав на результаты интеллектуальной деятельности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(лицензий и патентов) у российских или иностранных правообладателей;</w:t>
            </w:r>
          </w:p>
          <w:p w:rsidR="008C24BD" w:rsidRPr="00CC73AA" w:rsidRDefault="008C24BD" w:rsidP="00E01C55">
            <w:pPr>
              <w:pStyle w:val="af"/>
              <w:numPr>
                <w:ilvl w:val="0"/>
                <w:numId w:val="3"/>
              </w:numPr>
              <w:suppressAutoHyphens/>
              <w:spacing w:after="0" w:line="240" w:lineRule="auto"/>
              <w:ind w:left="35" w:firstLine="425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инжиниринг: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74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74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проектно-изыскательские работы, сбор исходных данных, разработка концепции строительства (ремонта) зданий, сооружений, коммуникаций для организации производства;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74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других служб, подготовку и получение разрешения на осуществление градостроительной деятельности;</w:t>
            </w:r>
          </w:p>
          <w:p w:rsidR="008C24BD" w:rsidRPr="00CC73AA" w:rsidRDefault="008C24BD" w:rsidP="00E01C55">
            <w:pPr>
              <w:pStyle w:val="af"/>
              <w:numPr>
                <w:ilvl w:val="0"/>
                <w:numId w:val="4"/>
              </w:numPr>
              <w:suppressAutoHyphens/>
              <w:spacing w:after="0" w:line="240" w:lineRule="auto"/>
              <w:ind w:left="35" w:firstLine="425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приобретение в собственность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российского и (или) импортного промышленного оборудо</w:t>
            </w:r>
            <w:r w:rsidR="00E4416B"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-</w:t>
            </w: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вания 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(за исключением приобретения промышленного оборудования по договорам финансовой аренды и лизинга), а также его монтаж, наладка и иные мероприятия по его подготовке для серийного производства;</w:t>
            </w:r>
          </w:p>
          <w:p w:rsidR="008C24BD" w:rsidRPr="00CC73AA" w:rsidRDefault="008C24BD" w:rsidP="00E01C55">
            <w:pPr>
              <w:pStyle w:val="af"/>
              <w:numPr>
                <w:ilvl w:val="0"/>
                <w:numId w:val="4"/>
              </w:numPr>
              <w:suppressAutoHyphens/>
              <w:spacing w:after="0" w:line="240" w:lineRule="auto"/>
              <w:ind w:left="35" w:firstLine="425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общехозяйственные расходы по проекту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– затраты на выполнение функций управления и обслуживания подразделений, реализующих проект – </w:t>
            </w: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в объеме не более 15% от суммы займа.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Использование займов на приобретение оборудования у иностранного поставщика допускается </w:t>
            </w: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исключительно при отсутствии аналогов на российском рынке.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Размер займа составляет </w:t>
            </w:r>
            <w:r w:rsidRPr="00CC73AA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от 50,0 млн. рублей до 300,0 млн. рублей.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Срок займа составляет </w:t>
            </w: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не более 5 (пяти) лет.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Общий бюджет проекта составляет </w:t>
            </w: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не менее 400,0 млн. рублей.</w:t>
            </w:r>
          </w:p>
          <w:p w:rsidR="00E4416B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Процен</w:t>
            </w:r>
            <w:r w:rsidR="00E4416B"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тная ставка по займу составляет 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для прое</w:t>
            </w:r>
            <w:r w:rsidR="00E4416B"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ктов с общим бюджетом проекта:</w:t>
            </w:r>
          </w:p>
          <w:p w:rsidR="008C24BD" w:rsidRPr="00CC73AA" w:rsidRDefault="00E4416B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от </w:t>
            </w:r>
            <w:r w:rsidR="008C24BD"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400,0 млн. рублей до 1,0 млрд. рублей – </w:t>
            </w:r>
            <w:r w:rsidR="008C24BD"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¾ (три четвертых) ключевой ставки ЦБ РФ</w:t>
            </w:r>
            <w:r w:rsidR="008C24BD"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, действую</w:t>
            </w:r>
            <w:r w:rsidR="00A901C5"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-</w:t>
            </w:r>
            <w:r w:rsidR="008C24BD"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щей на дату подписания договора Займа;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более 1,0 млрд. рублей – </w:t>
            </w: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5% годовых.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Софинансирование проекта за счет средств Заявителя, привлеченных средств или средств кредит</w:t>
            </w:r>
            <w:r w:rsidR="00E4416B"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-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ных организаций должно составлять </w:t>
            </w: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не менее 70% общего бюджета проекта.</w:t>
            </w:r>
            <w:r w:rsidR="00E4416B"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Не менее 30% от суммы займа должно быть профинансировано за счет собственных средств Заявителя (и (или) аффилированных лиц, бенефициаров Заявителя) в следующий период: не ранее 2 (двух) лет до даты подачи Заявки и не позднее 6 (шести) месяцев с даты заключения договора Займа.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Заем может быть использован исключительно на цели проекта и расходоваться на оплату труда, приобретение товаров, выполнение работ, оказание услуг, а также на уплату связанных с ними налогов и иных обязательных платежей в бюджеты бюджетной системы Российской Федерации.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Средства Займа </w:t>
            </w: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не могут быть направлены на реализацию следующих мероприятий: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строительство или капитальный ремонт зданий, сооружений, коммуникаций для организации производства или общехозяйственного назначения;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приобретение сырья и ресурсов для выпуска промышленных партий продукции;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настоящим Порядком;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уплата процентов по заемным средствам, в том числе по Займу, предоставленному Фондом для софинансирования проекта. 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424CB6" w:rsidRPr="00CC73AA" w:rsidRDefault="00424CB6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Перечень отраслевых направлений экономической деятельности: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2"/>
              <w:gridCol w:w="8489"/>
            </w:tblGrid>
            <w:tr w:rsidR="00424CB6" w:rsidRPr="00CC73AA" w:rsidTr="00736E76">
              <w:tc>
                <w:tcPr>
                  <w:tcW w:w="1282" w:type="dxa"/>
                  <w:shd w:val="clear" w:color="auto" w:fill="auto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№ класса ОКВЭД</w:t>
                  </w:r>
                </w:p>
              </w:tc>
              <w:tc>
                <w:tcPr>
                  <w:tcW w:w="8489" w:type="dxa"/>
                  <w:shd w:val="clear" w:color="auto" w:fill="auto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4CB6" w:rsidRPr="00CC73AA" w:rsidTr="00736E76">
              <w:tc>
                <w:tcPr>
                  <w:tcW w:w="9771" w:type="dxa"/>
                  <w:gridSpan w:val="2"/>
                  <w:shd w:val="clear" w:color="auto" w:fill="auto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Раздел C «Обрабатывающие производства»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пищевых продуктов в части промышленных биотехнологий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текстильных изделий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одежды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кожи и изделий из кожи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бумаги и бумажных изделий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химических веществ и химических продуктов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лекарственных средств и материалов, применяемых в медицинских целях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резиновых и пластмассовых изделий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прочей неметаллической минеральной продукции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металлургическое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готовых металлических изделий, кроме машин и оборудования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компьютеров, электронных и оптических изделий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электрического оборудования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машин и оборудования, не включенных в другие группировки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автотранспортных средств, прицепов и полуприцепов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прочих транспортных средств и оборудования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мебели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прочих готовых изделий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489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Ремонт и монтаж машин и оборудования</w:t>
                  </w:r>
                </w:p>
              </w:tc>
            </w:tr>
          </w:tbl>
          <w:p w:rsidR="00424CB6" w:rsidRPr="00CC73AA" w:rsidRDefault="00424CB6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424CB6" w:rsidRPr="00CC73AA" w:rsidRDefault="00424CB6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424CB6" w:rsidRPr="00CC73AA" w:rsidRDefault="00424CB6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424CB6" w:rsidRPr="00CC73AA" w:rsidRDefault="00424CB6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424CB6" w:rsidRPr="00CC73AA" w:rsidRDefault="00424CB6" w:rsidP="00E01C55">
            <w:pPr>
              <w:suppressAutoHyphens/>
              <w:spacing w:after="0" w:line="240" w:lineRule="auto"/>
              <w:ind w:firstLine="374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C302E" w:rsidRPr="00CC73AA" w:rsidTr="00A901C5">
        <w:tc>
          <w:tcPr>
            <w:tcW w:w="5000" w:type="pct"/>
          </w:tcPr>
          <w:p w:rsidR="00E4416B" w:rsidRPr="00CC73AA" w:rsidRDefault="00E4416B" w:rsidP="00E01C55">
            <w:pPr>
              <w:pStyle w:val="ConsPlusTitle"/>
              <w:ind w:left="720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lang w:eastAsia="hi-IN" w:bidi="hi-IN"/>
              </w:rPr>
            </w:pPr>
          </w:p>
          <w:p w:rsidR="005C302E" w:rsidRPr="00CC73AA" w:rsidRDefault="00E4416B" w:rsidP="00E01C55">
            <w:pPr>
              <w:pStyle w:val="ConsPlusTitle"/>
              <w:numPr>
                <w:ilvl w:val="0"/>
                <w:numId w:val="8"/>
              </w:numPr>
              <w:ind w:left="0" w:firstLine="0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lang w:eastAsia="hi-IN" w:bidi="hi-IN"/>
              </w:rPr>
            </w:pPr>
            <w:r w:rsidRPr="00CC73AA">
              <w:rPr>
                <w:rFonts w:ascii="Arial" w:hAnsi="Arial" w:cs="Arial"/>
                <w:sz w:val="20"/>
              </w:rPr>
              <w:t>ЗАЙМОВ НА РЕАЛИЗАЦИЮ ПРОЕКТОВ СУБЪЕКТОВ ИНВЕСТИЦИОННОЙ ДЕЯТЕЛЬНОСТИ В ЧУВАШСКОЙ РЕСПУБЛИКЕ:</w:t>
            </w:r>
          </w:p>
          <w:p w:rsidR="00E4416B" w:rsidRPr="00CC73AA" w:rsidRDefault="00E4416B" w:rsidP="00E01C55">
            <w:pPr>
              <w:pStyle w:val="ConsPlusTitle"/>
              <w:jc w:val="both"/>
              <w:rPr>
                <w:rFonts w:ascii="Arial" w:eastAsia="SimSun" w:hAnsi="Arial" w:cs="Arial"/>
                <w:b w:val="0"/>
                <w:i/>
                <w:color w:val="000000"/>
                <w:kern w:val="2"/>
                <w:sz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 w:val="0"/>
                <w:i/>
                <w:color w:val="000000"/>
                <w:kern w:val="2"/>
                <w:sz w:val="20"/>
                <w:lang w:eastAsia="hi-IN" w:bidi="hi-IN"/>
              </w:rPr>
              <w:t>(Порядок утвержден Наблюдательным советом 14 июля 2017 года)</w:t>
            </w:r>
          </w:p>
          <w:p w:rsidR="00E4416B" w:rsidRPr="00CC73AA" w:rsidRDefault="00E4416B" w:rsidP="00E01C55">
            <w:pPr>
              <w:pStyle w:val="ConsPlusTitle"/>
              <w:ind w:left="720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lang w:eastAsia="hi-IN" w:bidi="hi-IN"/>
              </w:rPr>
            </w:pPr>
          </w:p>
        </w:tc>
      </w:tr>
      <w:tr w:rsidR="008C24BD" w:rsidRPr="00CC73AA" w:rsidTr="00A901C5">
        <w:tc>
          <w:tcPr>
            <w:tcW w:w="5000" w:type="pct"/>
          </w:tcPr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Займы предоставляются на реализацию проектов, предусматривающих внедрение передовых технологий, создание новых продуктов или организацию импортозамещающих производств в рамках отраслевых направлений экономической деятельности. 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Заем может быть направлен на реализацию следующих мероприятий: 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создание и модернизация картофелехранилищ, овощехранилищ и тепличных комплексов;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создание и модернизация комплексов, объектов животноводства, мясохладобоен, пунктов по приемке, первичной переработке сельскохозяйственных животных и молока (включая холодильную обработку и хранение мясной и молочной продукции);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создание и модернизация предприятий по производству цельномолочной продукции, сыров и сливочного масла, цехов и участков по переработке и сушке сыворотки;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создание и модернизация комбикормовых предприятий и цехов;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создание и модернизация предприятий по производству напитков.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Затраты на выполнение функций управления и обслуживания подразделений, реализующих проект (общехозяйственные расходы по проекту) составляют не более 15% от суммы займа, в том числе: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командировочные и транспортные расходы проектной команды (стоимость проезда и проживания);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 xml:space="preserve"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</w:t>
            </w: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затраты на охрану труда и противопожарные мероприятия, расходы на оплату услуг охраны, услуг по хранению имущества;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расходы на маркетинговое продвижение продукта;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расходы по оплате информационных, аудиторских, консультационных и т.п. услуг, услуг связи, комиссий банков;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приобретение расходных материалов для оргтехники, бумаги и канцелярских принадлежностей, хозяйственного инвентаря;</w:t>
            </w:r>
          </w:p>
          <w:p w:rsidR="008C24BD" w:rsidRPr="00CC73AA" w:rsidRDefault="008C24BD" w:rsidP="00E01C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Размер займа - от 50,0 млн. рублей до 300,0 млн. рублей. 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Срок займа - не более 5 (пяти) лет.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Общий бюджет - не менее 400,0 млн. рублей.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Процентная ставка по займу составляет: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для проектов с общим бюджетом проекта от 400,0 млн. рублей до 1,0 млрд. рублей – ¾ (три четвертых) ключевой ставки Центрального банка Российской Федерации, действующей на дату подписания договора Займа, но не менее 5 % годовых;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для проектов с общим бюджетом проекта более 1,0 млрд. рублей – 5 (пять) % годовых.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Целевой объем продаж новой продукции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- не менее 50% от суммы займа в год, начиная со 2 года серийного производства.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Софинансирование проекта за счет средств Заявителя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, привлеченных средств или средств кредитных организаций должно составлять </w:t>
            </w: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не менее 70% общего бюджета проекта.</w:t>
            </w: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Не менее 30% от суммы займа должно быть профинансировано за счет собственных средств Заявителя (и (или) аффилированных лиц, бенефициаров Заявителя) в следующий период: не ранее 2 (двух) лет до даты подачи Заявки и не позднее 6 (шести) месяцев с даты заключения договора Займа.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Заем может быть использован исключительно на цели проекта и расходоваться на приобретение товаров, выполнение работ, оказание услуг, а также на общехозяйственные расходы по проекту.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Средства Займа не могут быть направлены на реализацию следующих мероприятий: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строительство или капитальный ремонт зданий, сооружений, коммуникаций общехозяйственного назначения;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приобретение сырья и ресурсов для выпуска партий продукции, изготовляемой в ходе действующего технологического процесса;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настоящим Порядком;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i/>
                <w:color w:val="000000"/>
                <w:kern w:val="2"/>
                <w:sz w:val="20"/>
                <w:szCs w:val="20"/>
                <w:lang w:eastAsia="hi-IN" w:bidi="hi-IN"/>
              </w:rPr>
              <w:t>уплата процентов по заемным средствам, в том числе по Займу, предоставленному Фондом для софинансирования проекта.</w:t>
            </w:r>
          </w:p>
          <w:p w:rsidR="008C24BD" w:rsidRPr="00CC73AA" w:rsidRDefault="008C24BD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C73AA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Перечень отраслевых направлений экономической деятельности: </w:t>
            </w:r>
          </w:p>
          <w:p w:rsidR="00424CB6" w:rsidRPr="00CC73AA" w:rsidRDefault="00424CB6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tbl>
            <w:tblPr>
              <w:tblW w:w="494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2"/>
              <w:gridCol w:w="8382"/>
            </w:tblGrid>
            <w:tr w:rsidR="00424CB6" w:rsidRPr="00CC73AA" w:rsidTr="00736E76">
              <w:tc>
                <w:tcPr>
                  <w:tcW w:w="1282" w:type="dxa"/>
                  <w:shd w:val="clear" w:color="auto" w:fill="auto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№ класса ОКВЭД</w:t>
                  </w:r>
                </w:p>
              </w:tc>
              <w:tc>
                <w:tcPr>
                  <w:tcW w:w="8382" w:type="dxa"/>
                  <w:shd w:val="clear" w:color="auto" w:fill="auto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4CB6" w:rsidRPr="00CC73AA" w:rsidTr="00736E76">
              <w:tc>
                <w:tcPr>
                  <w:tcW w:w="9664" w:type="dxa"/>
                  <w:gridSpan w:val="2"/>
                  <w:shd w:val="clear" w:color="auto" w:fill="auto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Раздел А «Сельское, лесное хозяйство, охота, рыболовство и рыбоводство»: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3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</w:tr>
            <w:tr w:rsidR="00424CB6" w:rsidRPr="00CC73AA" w:rsidTr="00736E76">
              <w:tc>
                <w:tcPr>
                  <w:tcW w:w="9664" w:type="dxa"/>
                  <w:gridSpan w:val="2"/>
                  <w:shd w:val="clear" w:color="auto" w:fill="auto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Раздел C «Обрабатывающие производства»: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 xml:space="preserve">Производство пищевых продуктов </w:t>
                  </w:r>
                </w:p>
              </w:tc>
            </w:tr>
            <w:tr w:rsidR="00424CB6" w:rsidRPr="00CC73AA" w:rsidTr="00736E76">
              <w:tc>
                <w:tcPr>
                  <w:tcW w:w="12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82" w:type="dxa"/>
                  <w:shd w:val="clear" w:color="auto" w:fill="auto"/>
                  <w:vAlign w:val="center"/>
                </w:tcPr>
                <w:p w:rsidR="00424CB6" w:rsidRPr="00CC73AA" w:rsidRDefault="00424CB6" w:rsidP="00E01C55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напитков</w:t>
                  </w:r>
                </w:p>
              </w:tc>
            </w:tr>
          </w:tbl>
          <w:p w:rsidR="00424CB6" w:rsidRPr="00CC73AA" w:rsidRDefault="00424CB6" w:rsidP="00E01C55">
            <w:pPr>
              <w:suppressAutoHyphens/>
              <w:spacing w:after="0" w:line="240" w:lineRule="auto"/>
              <w:ind w:firstLine="460"/>
              <w:jc w:val="both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624CCD" w:rsidRPr="00CC73AA" w:rsidRDefault="00624CCD" w:rsidP="00E01C55">
            <w:pPr>
              <w:pStyle w:val="af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3AA">
              <w:rPr>
                <w:rFonts w:ascii="Arial" w:hAnsi="Arial" w:cs="Arial"/>
                <w:b/>
                <w:sz w:val="20"/>
                <w:szCs w:val="20"/>
              </w:rPr>
              <w:t xml:space="preserve">ЗАЙМОВ СОВМЕСТНО С ФГАУ «РОССИЙСКИЙ ФОНД ТЕХНОЛОГИЧЕСКОГО РАЗВИТИЯ» ПО ПРОГРАММЕ «ПРОЕКТЫ РАЗВИТИЯ» </w:t>
            </w:r>
          </w:p>
          <w:p w:rsidR="00624CCD" w:rsidRPr="00CC73AA" w:rsidRDefault="00624CCD" w:rsidP="00E01C55">
            <w:pPr>
              <w:spacing w:before="106"/>
              <w:ind w:right="465" w:firstLine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C73AA">
              <w:rPr>
                <w:rFonts w:ascii="Arial" w:hAnsi="Arial" w:cs="Arial"/>
                <w:i/>
                <w:sz w:val="20"/>
                <w:szCs w:val="20"/>
              </w:rPr>
              <w:t xml:space="preserve">В соответствии с программой </w:t>
            </w:r>
            <w:r w:rsidRPr="00CC73AA">
              <w:rPr>
                <w:rFonts w:ascii="Arial" w:hAnsi="Arial" w:cs="Arial"/>
                <w:sz w:val="20"/>
                <w:szCs w:val="20"/>
              </w:rPr>
              <w:t>"</w:t>
            </w:r>
            <w:r w:rsidRPr="00CC73AA">
              <w:rPr>
                <w:rFonts w:ascii="Arial" w:hAnsi="Arial" w:cs="Arial"/>
                <w:i/>
                <w:sz w:val="20"/>
                <w:szCs w:val="20"/>
              </w:rPr>
              <w:t>Проекты развития</w:t>
            </w:r>
            <w:r w:rsidRPr="00CC73AA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CC73AA">
              <w:rPr>
                <w:rFonts w:ascii="Arial" w:hAnsi="Arial" w:cs="Arial"/>
                <w:i/>
                <w:sz w:val="20"/>
                <w:szCs w:val="20"/>
              </w:rPr>
              <w:t>производится заемное финансирование проектов, реализуемых по приоритетным направлениям российской промышленности, и направленных на разработку и внедрение на предприятиях перспективных технологий, соответствующих принципам наилучших доступных технологий (в том числе базовых отраслевых технологий), на производство новой конкурентоспособной и высокотехнологичной продукции гражданского назначения с импортозамещающим или экспортным потенциалом.</w:t>
            </w:r>
          </w:p>
          <w:p w:rsidR="00624CCD" w:rsidRPr="00CC73AA" w:rsidRDefault="00624CCD" w:rsidP="00E01C55">
            <w:pPr>
              <w:pStyle w:val="af"/>
              <w:widowControl w:val="0"/>
              <w:tabs>
                <w:tab w:val="left" w:pos="1312"/>
              </w:tabs>
              <w:spacing w:before="120" w:after="0" w:line="240" w:lineRule="auto"/>
              <w:ind w:left="0" w:right="465" w:firstLine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В рамках данной программы ФГАУ «Российский фонд технологического развития» помимо предоставления собственного финансирования, может осуществлять финансирование проектов совместно с региональными фондами развития промышленности, с которыми заключены соответствующие соглашения.</w:t>
            </w:r>
          </w:p>
          <w:p w:rsidR="005B6298" w:rsidRPr="00CC73AA" w:rsidRDefault="005B6298" w:rsidP="00CC73AA">
            <w:pPr>
              <w:widowControl w:val="0"/>
              <w:tabs>
                <w:tab w:val="left" w:pos="1312"/>
              </w:tabs>
              <w:spacing w:before="120" w:after="0" w:line="240" w:lineRule="auto"/>
              <w:ind w:right="4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298" w:rsidRPr="00CC73AA" w:rsidRDefault="005B6298" w:rsidP="00E01C55">
            <w:pPr>
              <w:pStyle w:val="af"/>
              <w:widowControl w:val="0"/>
              <w:tabs>
                <w:tab w:val="left" w:pos="1312"/>
              </w:tabs>
              <w:spacing w:before="120" w:after="0" w:line="240" w:lineRule="auto"/>
              <w:ind w:left="0" w:right="465" w:firstLine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CCD" w:rsidRPr="00CC73AA" w:rsidRDefault="00670A6E" w:rsidP="00E01C55">
            <w:pPr>
              <w:pStyle w:val="af"/>
              <w:widowControl w:val="0"/>
              <w:tabs>
                <w:tab w:val="left" w:pos="1312"/>
              </w:tabs>
              <w:spacing w:before="120" w:after="0" w:line="240" w:lineRule="auto"/>
              <w:ind w:left="0" w:right="465" w:firstLine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3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4CCD" w:rsidRPr="00CC73AA">
              <w:rPr>
                <w:rFonts w:ascii="Arial" w:hAnsi="Arial" w:cs="Arial"/>
                <w:b/>
                <w:sz w:val="20"/>
                <w:szCs w:val="20"/>
              </w:rPr>
              <w:t>Требования к проекту:</w:t>
            </w:r>
          </w:p>
          <w:p w:rsidR="00624CCD" w:rsidRPr="00CC73AA" w:rsidRDefault="00624CCD" w:rsidP="00E01C55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1112"/>
              </w:tabs>
              <w:spacing w:after="0" w:line="292" w:lineRule="exact"/>
              <w:ind w:left="0" w:firstLine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3AA">
              <w:rPr>
                <w:rFonts w:ascii="Arial" w:hAnsi="Arial" w:cs="Arial"/>
                <w:b/>
                <w:sz w:val="20"/>
                <w:szCs w:val="20"/>
              </w:rPr>
              <w:t>срок займа – не более 5</w:t>
            </w:r>
            <w:r w:rsidRPr="00CC73AA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CC73AA">
              <w:rPr>
                <w:rFonts w:ascii="Arial" w:hAnsi="Arial" w:cs="Arial"/>
                <w:b/>
                <w:sz w:val="20"/>
                <w:szCs w:val="20"/>
              </w:rPr>
              <w:t>лет;</w:t>
            </w:r>
          </w:p>
          <w:p w:rsidR="00624CCD" w:rsidRPr="00CC73AA" w:rsidRDefault="00624CCD" w:rsidP="00E01C55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1112"/>
              </w:tabs>
              <w:spacing w:after="0" w:line="292" w:lineRule="exact"/>
              <w:ind w:left="0" w:firstLine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3AA">
              <w:rPr>
                <w:rFonts w:ascii="Arial" w:hAnsi="Arial" w:cs="Arial"/>
                <w:b/>
                <w:sz w:val="20"/>
                <w:szCs w:val="20"/>
              </w:rPr>
              <w:t>общий бюджет проекта - не менее 40 млн</w:t>
            </w:r>
            <w:r w:rsidRPr="00CC73AA">
              <w:rPr>
                <w:rFonts w:ascii="Arial" w:hAnsi="Arial" w:cs="Arial"/>
                <w:b/>
                <w:spacing w:val="-21"/>
                <w:sz w:val="20"/>
                <w:szCs w:val="20"/>
              </w:rPr>
              <w:t xml:space="preserve"> </w:t>
            </w:r>
            <w:r w:rsidRPr="00CC73AA">
              <w:rPr>
                <w:rFonts w:ascii="Arial" w:hAnsi="Arial" w:cs="Arial"/>
                <w:b/>
                <w:sz w:val="20"/>
                <w:szCs w:val="20"/>
              </w:rPr>
              <w:t>руб.;</w:t>
            </w:r>
          </w:p>
          <w:p w:rsidR="00624CCD" w:rsidRPr="00CC73AA" w:rsidRDefault="00624CCD" w:rsidP="00E01C55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1112"/>
              </w:tabs>
              <w:spacing w:after="0" w:line="293" w:lineRule="exact"/>
              <w:ind w:left="0" w:firstLine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3AA">
              <w:rPr>
                <w:rFonts w:ascii="Arial" w:hAnsi="Arial" w:cs="Arial"/>
                <w:b/>
                <w:sz w:val="20"/>
                <w:szCs w:val="20"/>
              </w:rPr>
              <w:t>сумма займа – от 20 до 100 млн</w:t>
            </w:r>
            <w:r w:rsidRPr="00CC73A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C73AA">
              <w:rPr>
                <w:rFonts w:ascii="Arial" w:hAnsi="Arial" w:cs="Arial"/>
                <w:b/>
                <w:sz w:val="20"/>
                <w:szCs w:val="20"/>
              </w:rPr>
              <w:t xml:space="preserve">руб.; </w:t>
            </w:r>
          </w:p>
          <w:p w:rsidR="00624CCD" w:rsidRPr="00CC73AA" w:rsidRDefault="00624CCD" w:rsidP="00E01C55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1112"/>
              </w:tabs>
              <w:spacing w:after="0" w:line="240" w:lineRule="auto"/>
              <w:ind w:left="0" w:right="467" w:firstLine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3AA">
              <w:rPr>
                <w:rFonts w:ascii="Arial" w:hAnsi="Arial" w:cs="Arial"/>
                <w:b/>
                <w:sz w:val="20"/>
                <w:szCs w:val="20"/>
              </w:rPr>
              <w:t>целевой объем продаж новой продукции - не менее 50% от суммы займа в год, начиная со 2 года серийного</w:t>
            </w:r>
            <w:r w:rsidRPr="00CC73AA">
              <w:rPr>
                <w:rFonts w:ascii="Arial" w:hAnsi="Arial" w:cs="Arial"/>
                <w:b/>
                <w:spacing w:val="-22"/>
                <w:sz w:val="20"/>
                <w:szCs w:val="20"/>
              </w:rPr>
              <w:t xml:space="preserve"> </w:t>
            </w:r>
            <w:r w:rsidRPr="00CC73AA">
              <w:rPr>
                <w:rFonts w:ascii="Arial" w:hAnsi="Arial" w:cs="Arial"/>
                <w:b/>
                <w:sz w:val="20"/>
                <w:szCs w:val="20"/>
              </w:rPr>
              <w:t>производства;</w:t>
            </w:r>
          </w:p>
          <w:p w:rsidR="00624CCD" w:rsidRPr="00CC73AA" w:rsidRDefault="00624CCD" w:rsidP="00E01C55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1112"/>
              </w:tabs>
              <w:spacing w:before="3" w:after="0" w:line="237" w:lineRule="auto"/>
              <w:ind w:left="0" w:right="465" w:firstLine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3AA">
              <w:rPr>
                <w:rFonts w:ascii="Arial" w:hAnsi="Arial" w:cs="Arial"/>
                <w:b/>
                <w:sz w:val="20"/>
                <w:szCs w:val="20"/>
              </w:rPr>
              <w:t>наличие обязательств по софинансированию проекта со стороны Заявителя, частных инвесторов или за счет банковских кредитов в объеме не менее 50% общего бюджета</w:t>
            </w:r>
            <w:r w:rsidRPr="00CC73AA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CC73AA">
              <w:rPr>
                <w:rFonts w:ascii="Arial" w:hAnsi="Arial" w:cs="Arial"/>
                <w:b/>
                <w:sz w:val="20"/>
                <w:szCs w:val="20"/>
              </w:rPr>
              <w:t>проекта.</w:t>
            </w:r>
          </w:p>
          <w:p w:rsidR="00624CCD" w:rsidRPr="00CC73AA" w:rsidRDefault="00624CCD" w:rsidP="00E01C55">
            <w:pPr>
              <w:pStyle w:val="a9"/>
              <w:ind w:right="467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Минимальный и максимальный размер займа определяется отдельным решением Наблюдательного совета Фонда. Экспертный совет Фонда при принятии решения о финансировании проекта определяет сумму и срок займа, исходя из особенностей проекта и финансового состояния Заявителя, но не более суммы, запрошенной Заявителем.</w:t>
            </w:r>
          </w:p>
          <w:p w:rsidR="00624CCD" w:rsidRPr="00CC73AA" w:rsidRDefault="00624CCD" w:rsidP="00E01C55">
            <w:pPr>
              <w:pStyle w:val="a9"/>
              <w:ind w:right="465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При расчете объема софинансирования проекта со стороны Заявителя, частных инвесторов или за счет банковских кредитов:</w:t>
            </w:r>
          </w:p>
          <w:p w:rsidR="00624CCD" w:rsidRPr="00CC73AA" w:rsidRDefault="00624CCD" w:rsidP="00E01C55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038"/>
              </w:tabs>
              <w:spacing w:after="0" w:line="240" w:lineRule="auto"/>
              <w:ind w:left="0" w:right="464" w:firstLine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могут быть учтены инвестиции, осуществленные в проект не ранее двух лет, предшествующих дате подачи Заявки, при условии документального</w:t>
            </w:r>
            <w:r w:rsidRPr="00CC73AA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C73AA">
              <w:rPr>
                <w:rFonts w:ascii="Arial" w:hAnsi="Arial" w:cs="Arial"/>
                <w:sz w:val="20"/>
                <w:szCs w:val="20"/>
              </w:rPr>
              <w:t>подтверждения</w:t>
            </w:r>
          </w:p>
          <w:p w:rsidR="00624CCD" w:rsidRPr="00CC73AA" w:rsidRDefault="00624CCD" w:rsidP="00E01C55">
            <w:pPr>
              <w:pStyle w:val="a9"/>
              <w:spacing w:before="49"/>
              <w:ind w:right="534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понесенных затрат до вынесения проекта на рассмотрение Экспертным советом Фонда;</w:t>
            </w:r>
          </w:p>
          <w:p w:rsidR="00624CCD" w:rsidRPr="00CC73AA" w:rsidRDefault="00624CCD" w:rsidP="00E01C55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038"/>
              </w:tabs>
              <w:spacing w:before="3" w:after="0" w:line="237" w:lineRule="auto"/>
              <w:ind w:left="0" w:right="464" w:firstLine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не учитываются инвестиции, осуществляемые (осуществленные) за счет средств, выделяемых напрямую для поддержки проектов из бюджета (субсидии и т.п.);</w:t>
            </w:r>
          </w:p>
          <w:p w:rsidR="00624CCD" w:rsidRPr="00CC73AA" w:rsidRDefault="00624CCD" w:rsidP="00E01C55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038"/>
              </w:tabs>
              <w:spacing w:before="1" w:after="0" w:line="240" w:lineRule="auto"/>
              <w:ind w:left="0" w:firstLine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не учитываются доходы в виде денежного потока, генерируемого</w:t>
            </w:r>
            <w:r w:rsidRPr="00CC73AA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CC73AA">
              <w:rPr>
                <w:rFonts w:ascii="Arial" w:hAnsi="Arial" w:cs="Arial"/>
                <w:sz w:val="20"/>
                <w:szCs w:val="20"/>
              </w:rPr>
              <w:t>проектом.</w:t>
            </w:r>
          </w:p>
          <w:p w:rsidR="00624CCD" w:rsidRPr="00CC73AA" w:rsidRDefault="00624CCD" w:rsidP="00E01C55">
            <w:pPr>
              <w:pStyle w:val="a9"/>
              <w:spacing w:before="118"/>
              <w:ind w:right="467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Софинансирование за счет собственных средств Заявителя (и/или аффилированных лиц, бенефициаров Заявителя) в размере не менее 15% от суммы займа должно быть осуществлено в следующий период: не ранее 2 лет до даты подачи Заявки и не позднее 6 месяцев с даты заключения договора Займа.</w:t>
            </w:r>
          </w:p>
          <w:p w:rsidR="00624CCD" w:rsidRPr="00CC73AA" w:rsidRDefault="00624CCD" w:rsidP="00E01C55">
            <w:pPr>
              <w:ind w:firstLine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3AA">
              <w:rPr>
                <w:rFonts w:ascii="Arial" w:hAnsi="Arial" w:cs="Arial"/>
                <w:b/>
                <w:sz w:val="20"/>
                <w:szCs w:val="20"/>
              </w:rPr>
              <w:t xml:space="preserve">Средства, полученные для финансирования проекта со стороны Фонда, могут быть направлены на реализацию следующих мероприятий: </w:t>
            </w:r>
          </w:p>
          <w:p w:rsidR="00624CCD" w:rsidRPr="00CC73AA" w:rsidRDefault="00624CCD" w:rsidP="00E01C55">
            <w:pPr>
              <w:pStyle w:val="af"/>
              <w:numPr>
                <w:ilvl w:val="0"/>
                <w:numId w:val="9"/>
              </w:numPr>
              <w:spacing w:after="160" w:line="259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 xml:space="preserve">Разработка нового продукта/технологии, включая: 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опытно-конструкторские и опытно-технологические работы;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технические, производственно-технологические, маркетинговые тестирования и испытания;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проведение патентных исследований (на патентную чистоту, выявление охраноспособных решений и др.), патентование разработанных решений, в т.ч. зарубежное патентование;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 xml:space="preserve">• приобретение расходных материалов для проведения мероприятий по настоящему разделу, в том числе, сырья и ресурсов для выпуска опытных, опытно- промышленных партий, испытаний оборудования и технологии до запуска в серийное производство – в объеме до 20% от суммы займа. </w:t>
            </w:r>
          </w:p>
          <w:p w:rsidR="00624CCD" w:rsidRPr="00CC73AA" w:rsidRDefault="00624CCD" w:rsidP="00E01C55">
            <w:pPr>
              <w:pStyle w:val="af"/>
              <w:numPr>
                <w:ilvl w:val="0"/>
                <w:numId w:val="9"/>
              </w:numPr>
              <w:spacing w:after="160" w:line="259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установок.</w:t>
            </w:r>
          </w:p>
          <w:p w:rsidR="00624CCD" w:rsidRPr="00CC73AA" w:rsidRDefault="00624CCD" w:rsidP="00E01C55">
            <w:pPr>
              <w:pStyle w:val="af"/>
              <w:numPr>
                <w:ilvl w:val="0"/>
                <w:numId w:val="9"/>
              </w:numPr>
              <w:spacing w:after="160" w:line="259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Разработка технико-экономического обоснования инвестиционной стадии проекта, прединвестиционный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(ISO 9000, LEAN и пр.).</w:t>
            </w:r>
          </w:p>
          <w:p w:rsidR="00624CCD" w:rsidRPr="00CC73AA" w:rsidRDefault="00624CCD" w:rsidP="00E01C55">
            <w:pPr>
              <w:pStyle w:val="af"/>
              <w:numPr>
                <w:ilvl w:val="0"/>
                <w:numId w:val="9"/>
              </w:numPr>
              <w:spacing w:after="160" w:line="259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 xml:space="preserve">Приобретение прав на результаты интеллектуальной деятельности (лицензий и патентов) у российских или иностранных правообладателей. </w:t>
            </w:r>
          </w:p>
          <w:p w:rsidR="00624CCD" w:rsidRPr="00CC73AA" w:rsidRDefault="00624CCD" w:rsidP="00E01C55">
            <w:pPr>
              <w:pStyle w:val="af"/>
              <w:numPr>
                <w:ilvl w:val="0"/>
                <w:numId w:val="9"/>
              </w:numPr>
              <w:spacing w:after="160" w:line="259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 xml:space="preserve"> Инжиниринг: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lastRenderedPageBreak/>
              <w:t xml:space="preserve">• 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деятельности. </w:t>
            </w:r>
          </w:p>
          <w:p w:rsidR="00624CCD" w:rsidRPr="00CC73AA" w:rsidRDefault="00624CCD" w:rsidP="00E01C55">
            <w:pPr>
              <w:pStyle w:val="af"/>
              <w:numPr>
                <w:ilvl w:val="0"/>
                <w:numId w:val="9"/>
              </w:numPr>
              <w:spacing w:after="160" w:line="259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Приобретение в собственность для целей технологического перевооружения и модернизации производства российского и/или импортного промышленного оборудования, а также его монтаж, наладка и иные мероприятия по его подготовке для серийного производства.</w:t>
            </w:r>
          </w:p>
          <w:p w:rsidR="00624CCD" w:rsidRPr="00CC73AA" w:rsidRDefault="00624CCD" w:rsidP="00E01C55">
            <w:pPr>
              <w:pStyle w:val="af"/>
              <w:numPr>
                <w:ilvl w:val="0"/>
                <w:numId w:val="9"/>
              </w:numPr>
              <w:spacing w:after="160" w:line="259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Общехозяйственные расходы по проекту – затраты на выполнение функций управления и обслуживания подразделений, реализующих проект - в объеме не более 15% от суммы займа: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командировочные и транспортные расходы проектной команды (стоимость проезда и проживания);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затраты на охрану труда и противопожарные мероприятия, расходы на оплату услуг охраны, услуг по хранению имущества;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расходы на маркетинговое продвижение продукта;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расходы по оплате информационных, аудиторских, консультационных и т.п. услуг, услуг связи, комиссий банков;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приобретение расходных материалов для оргтехники, бумаги и канцелярских принадлежностей, хозяйственного инвентаря;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</w:t>
            </w:r>
          </w:p>
          <w:p w:rsidR="00624CCD" w:rsidRPr="00CC73AA" w:rsidRDefault="00624CCD" w:rsidP="00E01C55">
            <w:pPr>
              <w:pStyle w:val="af"/>
              <w:numPr>
                <w:ilvl w:val="0"/>
                <w:numId w:val="9"/>
              </w:numPr>
              <w:spacing w:after="160" w:line="259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Денежные средства, предоставленные Заявителю Фондом по договору займа, могут быть использованы исключительно на цели финансирования проекта и расходоваться на оплату труда, приобретение товаров, работ, услуг, а также уплату связанных с ними налогов и иных обязательных платежей. 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Проекта и при соблюдении условий о софинансировании проекта. Средства, полученные для финансирования проекта со стороны Фонда, не могут быть направлены на реализацию следующих мероприятий: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строительство или капитальный ремонт зданий, сооружений, коммуникаций для организации производства или общехозяйственного назначения;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приобретение сырья и ресурсов для выпуска промышленных партий продукции;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настоящим Стандартом;</w:t>
            </w:r>
          </w:p>
          <w:p w:rsidR="00624CCD" w:rsidRPr="00CC73AA" w:rsidRDefault="00624CCD" w:rsidP="00E01C55">
            <w:pPr>
              <w:pStyle w:val="af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• уплата процентов по заемным средствам, в том числе по Займу, предоставленному Фондом для финансирования проекта.</w:t>
            </w:r>
          </w:p>
          <w:p w:rsidR="00624CCD" w:rsidRPr="00CC73AA" w:rsidRDefault="00624CCD" w:rsidP="00E01C55">
            <w:pPr>
              <w:pStyle w:val="af"/>
              <w:numPr>
                <w:ilvl w:val="0"/>
                <w:numId w:val="9"/>
              </w:numPr>
              <w:spacing w:after="160" w:line="259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10% от суммы, 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Фонда с проведением повторной производственно-технологической и финансово-экономической экспертиз.</w:t>
            </w:r>
          </w:p>
          <w:p w:rsidR="00624CCD" w:rsidRPr="00CC73AA" w:rsidRDefault="00624CCD" w:rsidP="00E01C55">
            <w:pPr>
              <w:pStyle w:val="af"/>
              <w:numPr>
                <w:ilvl w:val="0"/>
                <w:numId w:val="9"/>
              </w:numPr>
              <w:spacing w:after="160" w:line="259" w:lineRule="auto"/>
              <w:ind w:left="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Оплата приобретаемых товаров (работ, услуг) за счет средств займа ключевым исполнителям, не раскрытым на момент принятия Фондом решения о предоставлении финансирования проекта, возможна при условии получения согласования платежа со стороны Фонда с обязательным проведением дополнительной производственно-технологической и юридической экспертиз ключевого исполнителя.</w:t>
            </w:r>
          </w:p>
          <w:p w:rsidR="00624CCD" w:rsidRDefault="00624CCD" w:rsidP="00E01C55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3AA" w:rsidRDefault="00CC73AA" w:rsidP="00E01C55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3AA" w:rsidRPr="00CC73AA" w:rsidRDefault="00CC73AA" w:rsidP="00E01C55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574"/>
              <w:gridCol w:w="8078"/>
            </w:tblGrid>
            <w:tr w:rsidR="00624CCD" w:rsidRPr="00CC73AA" w:rsidTr="00736E76">
              <w:trPr>
                <w:trHeight w:hRule="exact" w:val="590"/>
              </w:trPr>
              <w:tc>
                <w:tcPr>
                  <w:tcW w:w="9653" w:type="dxa"/>
                  <w:gridSpan w:val="2"/>
                </w:tcPr>
                <w:p w:rsidR="00624CCD" w:rsidRPr="00CC73AA" w:rsidRDefault="00624CCD" w:rsidP="00CC73AA">
                  <w:pPr>
                    <w:pStyle w:val="TableParagraph"/>
                    <w:spacing w:line="276" w:lineRule="auto"/>
                    <w:ind w:left="0" w:right="234" w:firstLine="28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>Перечень отраслевых направлений, в рамках которых возможно получение финансовой поддержки проектов</w:t>
                  </w:r>
                  <w:r w:rsidR="00CC73A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по программе «проекты развития»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9653" w:type="dxa"/>
                  <w:gridSpan w:val="2"/>
                </w:tcPr>
                <w:p w:rsidR="00624CCD" w:rsidRPr="00CC73AA" w:rsidRDefault="00624CCD" w:rsidP="00E01C55">
                  <w:pPr>
                    <w:pStyle w:val="TableParagraph"/>
                    <w:spacing w:line="251" w:lineRule="exact"/>
                    <w:ind w:left="0" w:right="234" w:firstLine="284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Раздел C "Обрабатывающие производства"</w:t>
                  </w:r>
                </w:p>
              </w:tc>
            </w:tr>
            <w:tr w:rsidR="00624CCD" w:rsidRPr="00CC73AA" w:rsidTr="00736E76">
              <w:trPr>
                <w:trHeight w:hRule="exact" w:val="514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spacing w:before="2" w:line="252" w:lineRule="exact"/>
                    <w:ind w:left="0" w:right="335" w:firstLine="28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класса ОКВЭД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ind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4CCD" w:rsidRPr="00CC73AA" w:rsidTr="00736E76">
              <w:trPr>
                <w:trHeight w:hRule="exact" w:val="264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spacing w:line="240" w:lineRule="auto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spacing w:line="240" w:lineRule="auto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пищевых продуктов в части промышленных биотехнологий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текстильных изделий</w:t>
                  </w:r>
                </w:p>
              </w:tc>
            </w:tr>
            <w:tr w:rsidR="00624CCD" w:rsidRPr="00CC73AA" w:rsidTr="00736E76">
              <w:trPr>
                <w:trHeight w:hRule="exact" w:val="264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одежды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кожи и изделий из кожи</w:t>
                  </w:r>
                </w:p>
              </w:tc>
            </w:tr>
            <w:tr w:rsidR="00624CCD" w:rsidRPr="00CC73AA" w:rsidTr="00736E76">
              <w:trPr>
                <w:trHeight w:hRule="exact" w:val="514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spacing w:before="2" w:line="252" w:lineRule="exact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    </w:r>
                </w:p>
              </w:tc>
            </w:tr>
            <w:tr w:rsidR="00624CCD" w:rsidRPr="00CC73AA" w:rsidTr="00736E76">
              <w:trPr>
                <w:trHeight w:hRule="exact" w:val="264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spacing w:line="240" w:lineRule="auto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spacing w:line="240" w:lineRule="auto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бумаги и бумажных изделий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химических веществ и химических продуктов</w:t>
                  </w:r>
                </w:p>
              </w:tc>
            </w:tr>
            <w:tr w:rsidR="00624CCD" w:rsidRPr="00CC73AA" w:rsidTr="00736E76">
              <w:trPr>
                <w:trHeight w:hRule="exact" w:val="374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лекарственных средств и материалов, применяемых в медицинских целях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резиновых и пластмассовых изделий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прочей неметаллической минеральной продукции</w:t>
                  </w:r>
                </w:p>
              </w:tc>
            </w:tr>
            <w:tr w:rsidR="00624CCD" w:rsidRPr="00CC73AA" w:rsidTr="00736E76">
              <w:trPr>
                <w:trHeight w:hRule="exact" w:val="264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металлургическое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готовых металлических изделий, кроме машин и оборудования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компьютеров, электронных и оптических изделий</w:t>
                  </w:r>
                </w:p>
              </w:tc>
            </w:tr>
            <w:tr w:rsidR="00624CCD" w:rsidRPr="00CC73AA" w:rsidTr="00736E76">
              <w:trPr>
                <w:trHeight w:hRule="exact" w:val="264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электрического оборудования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машин и оборудования, не включенных в другие группировки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автотранспортных средств, прицепов и полуприцепов</w:t>
                  </w:r>
                </w:p>
              </w:tc>
            </w:tr>
            <w:tr w:rsidR="00624CCD" w:rsidRPr="00CC73AA" w:rsidTr="00736E76">
              <w:trPr>
                <w:trHeight w:hRule="exact" w:val="264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spacing w:line="240" w:lineRule="auto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spacing w:line="240" w:lineRule="auto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Производство прочих транспортных средств и оборудования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мебели</w:t>
                  </w:r>
                </w:p>
              </w:tc>
            </w:tr>
            <w:tr w:rsidR="00624CCD" w:rsidRPr="00CC73AA" w:rsidTr="00736E76">
              <w:trPr>
                <w:trHeight w:hRule="exact" w:val="262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Производство прочих готовых изделий</w:t>
                  </w:r>
                </w:p>
              </w:tc>
            </w:tr>
            <w:tr w:rsidR="00624CCD" w:rsidRPr="00CC73AA" w:rsidTr="00736E76">
              <w:trPr>
                <w:trHeight w:hRule="exact" w:val="264"/>
              </w:trPr>
              <w:tc>
                <w:tcPr>
                  <w:tcW w:w="1574" w:type="dxa"/>
                </w:tcPr>
                <w:p w:rsidR="00624CCD" w:rsidRPr="00CC73AA" w:rsidRDefault="00624CCD" w:rsidP="00E01C55">
                  <w:pPr>
                    <w:pStyle w:val="TableParagraph"/>
                    <w:spacing w:line="240" w:lineRule="auto"/>
                    <w:ind w:left="0" w:right="535"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078" w:type="dxa"/>
                </w:tcPr>
                <w:p w:rsidR="00624CCD" w:rsidRPr="00CC73AA" w:rsidRDefault="00624CCD" w:rsidP="00E01C55">
                  <w:pPr>
                    <w:pStyle w:val="TableParagraph"/>
                    <w:spacing w:line="240" w:lineRule="auto"/>
                    <w:ind w:left="0" w:firstLine="284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CC73A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Ремонт и монтаж машин и оборудования</w:t>
                  </w:r>
                </w:p>
              </w:tc>
            </w:tr>
          </w:tbl>
          <w:p w:rsidR="00624CCD" w:rsidRPr="00CC73AA" w:rsidRDefault="00624CCD" w:rsidP="00E01C55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24BD" w:rsidRDefault="008C24BD" w:rsidP="00E01C55">
            <w:pPr>
              <w:pStyle w:val="ConsPlusTitle"/>
              <w:jc w:val="both"/>
              <w:rPr>
                <w:rFonts w:ascii="Arial" w:eastAsia="SimSun" w:hAnsi="Arial" w:cs="Arial"/>
                <w:color w:val="000000"/>
                <w:kern w:val="2"/>
                <w:sz w:val="20"/>
                <w:lang w:eastAsia="hi-IN" w:bidi="hi-IN"/>
              </w:rPr>
            </w:pPr>
          </w:p>
          <w:p w:rsidR="00CC73AA" w:rsidRPr="00CC73AA" w:rsidRDefault="00CC73AA" w:rsidP="00E01C55">
            <w:pPr>
              <w:pStyle w:val="ConsPlusTitle"/>
              <w:jc w:val="both"/>
              <w:rPr>
                <w:rFonts w:ascii="Arial" w:eastAsia="SimSun" w:hAnsi="Arial" w:cs="Arial"/>
                <w:b w:val="0"/>
                <w:color w:val="000000"/>
                <w:kern w:val="2"/>
                <w:sz w:val="20"/>
                <w:lang w:eastAsia="hi-IN" w:bidi="hi-IN"/>
              </w:rPr>
            </w:pPr>
          </w:p>
        </w:tc>
      </w:tr>
      <w:tr w:rsidR="00600822" w:rsidRPr="00CC73AA" w:rsidTr="00A901C5">
        <w:tc>
          <w:tcPr>
            <w:tcW w:w="5000" w:type="pct"/>
          </w:tcPr>
          <w:p w:rsidR="00E4416B" w:rsidRPr="00CC73AA" w:rsidRDefault="00E4416B" w:rsidP="00E01C55">
            <w:pPr>
              <w:pStyle w:val="ConsPlusTitle"/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:rsidR="00600822" w:rsidRPr="00CC73AA" w:rsidRDefault="00E4416B" w:rsidP="00E01C55">
            <w:pPr>
              <w:pStyle w:val="ConsPlusTitle"/>
              <w:numPr>
                <w:ilvl w:val="0"/>
                <w:numId w:val="8"/>
              </w:numPr>
              <w:ind w:left="34" w:firstLine="0"/>
              <w:jc w:val="both"/>
              <w:rPr>
                <w:rFonts w:ascii="Arial" w:hAnsi="Arial" w:cs="Arial"/>
                <w:sz w:val="20"/>
              </w:rPr>
            </w:pPr>
            <w:r w:rsidRPr="00CC73AA">
              <w:rPr>
                <w:rFonts w:ascii="Arial" w:hAnsi="Arial" w:cs="Arial"/>
                <w:sz w:val="20"/>
              </w:rPr>
              <w:t>ФИНАНСИРОВАНИЯ ИНВЕСТИЦИОННЫХ ПРОЕКТОВ, НЕОТЬЕМЛЕМОЙ ЧАСТЬЮ КОТОРЫХ ЯВЛЯЕТСЯ СТРОИТЕЛЬТСВО (РЕКОНСТРУКЦИЯ) ОБЪЕКТОВ КАПИТАЛЬНОГО СТРОИТЕЛЬСТВА ИНЖЕНЕРНОЙ И ТРАНСПОРТНОЙ ИНФРАСТРУКТУРЫ:</w:t>
            </w:r>
          </w:p>
          <w:p w:rsidR="00E4416B" w:rsidRPr="00CC73AA" w:rsidRDefault="00E4416B" w:rsidP="00E01C55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CC73AA">
              <w:rPr>
                <w:i/>
                <w:sz w:val="20"/>
                <w:szCs w:val="20"/>
              </w:rPr>
              <w:t>(Порядок утвержден Постановлением Кабинета Министров Чувашской Республики от 17</w:t>
            </w:r>
            <w:r w:rsidR="00A901C5" w:rsidRPr="00CC73AA">
              <w:rPr>
                <w:i/>
                <w:sz w:val="20"/>
                <w:szCs w:val="20"/>
              </w:rPr>
              <w:t>.07.</w:t>
            </w:r>
            <w:r w:rsidRPr="00CC73AA">
              <w:rPr>
                <w:i/>
                <w:sz w:val="20"/>
                <w:szCs w:val="20"/>
              </w:rPr>
              <w:t>17 № 267)</w:t>
            </w:r>
          </w:p>
          <w:p w:rsidR="00E4416B" w:rsidRPr="00CC73AA" w:rsidRDefault="00E4416B" w:rsidP="00E01C55">
            <w:pPr>
              <w:pStyle w:val="ConsPlusTitle"/>
              <w:ind w:firstLine="458"/>
              <w:jc w:val="both"/>
              <w:rPr>
                <w:rFonts w:ascii="Arial" w:eastAsia="SimSun" w:hAnsi="Arial" w:cs="Arial"/>
                <w:b w:val="0"/>
                <w:color w:val="000000"/>
                <w:kern w:val="2"/>
                <w:sz w:val="20"/>
                <w:lang w:eastAsia="hi-IN" w:bidi="hi-IN"/>
              </w:rPr>
            </w:pPr>
          </w:p>
        </w:tc>
      </w:tr>
      <w:tr w:rsidR="00E4416B" w:rsidRPr="00CC73AA" w:rsidTr="00A901C5">
        <w:tc>
          <w:tcPr>
            <w:tcW w:w="5000" w:type="pct"/>
          </w:tcPr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sz w:val="20"/>
                <w:szCs w:val="20"/>
              </w:rPr>
            </w:pPr>
            <w:r w:rsidRPr="00CC73AA">
              <w:rPr>
                <w:sz w:val="20"/>
                <w:szCs w:val="20"/>
              </w:rPr>
              <w:t xml:space="preserve">Инвестиционный проект должен предусматривать создание нового производства, а также соответствовать следующим </w:t>
            </w:r>
            <w:r w:rsidRPr="00CC73AA">
              <w:rPr>
                <w:b/>
                <w:sz w:val="20"/>
                <w:szCs w:val="20"/>
              </w:rPr>
              <w:t>критериям и требованиям</w:t>
            </w:r>
            <w:r w:rsidRPr="00CC73AA">
              <w:rPr>
                <w:sz w:val="20"/>
                <w:szCs w:val="20"/>
              </w:rPr>
              <w:t>:</w:t>
            </w:r>
          </w:p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i/>
                <w:sz w:val="20"/>
                <w:szCs w:val="20"/>
              </w:rPr>
            </w:pPr>
            <w:r w:rsidRPr="00CC73AA">
              <w:rPr>
                <w:i/>
                <w:sz w:val="20"/>
                <w:szCs w:val="20"/>
              </w:rPr>
              <w:t>а) соответствие инвестиционного проекта приоритетным направлениям государственной поддержки инвестиционной деятельности в Чувашской Республике;</w:t>
            </w:r>
          </w:p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i/>
                <w:sz w:val="20"/>
                <w:szCs w:val="20"/>
              </w:rPr>
            </w:pPr>
            <w:r w:rsidRPr="00CC73AA">
              <w:rPr>
                <w:i/>
                <w:sz w:val="20"/>
                <w:szCs w:val="20"/>
              </w:rPr>
              <w:t>б) строительство (реконструкция) на ранее не застроенных или освобожденных от застройки земельных участках, полностью или частично не обеспеченных инженерной и транспортной инфраструктурой на момент начала реализации инвестиционного проекта;</w:t>
            </w:r>
          </w:p>
          <w:p w:rsidR="00E4416B" w:rsidRPr="00CC73AA" w:rsidRDefault="00E4416B" w:rsidP="00E01C55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C73AA">
              <w:rPr>
                <w:rFonts w:ascii="Arial" w:hAnsi="Arial" w:cs="Arial"/>
                <w:i/>
                <w:sz w:val="20"/>
                <w:szCs w:val="20"/>
              </w:rPr>
              <w:t>в) </w:t>
            </w:r>
            <w:r w:rsidRPr="00CC73AA">
              <w:rPr>
                <w:rFonts w:ascii="Arial" w:hAnsi="Arial" w:cs="Arial"/>
                <w:b/>
                <w:i/>
                <w:sz w:val="20"/>
                <w:szCs w:val="20"/>
              </w:rPr>
              <w:t>общая стоимость инвестиционного проекта</w:t>
            </w:r>
            <w:r w:rsidRPr="00CC73AA">
              <w:rPr>
                <w:rFonts w:ascii="Arial" w:hAnsi="Arial" w:cs="Arial"/>
                <w:i/>
                <w:sz w:val="20"/>
                <w:szCs w:val="20"/>
              </w:rPr>
              <w:t xml:space="preserve"> за счет </w:t>
            </w:r>
            <w:r w:rsidRPr="00CC73A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собственных, заемных или привлеченных средств в форме инвестиций </w:t>
            </w:r>
            <w:r w:rsidRPr="00CC73AA">
              <w:rPr>
                <w:rFonts w:ascii="Arial" w:hAnsi="Arial" w:cs="Arial"/>
                <w:i/>
                <w:sz w:val="20"/>
                <w:szCs w:val="20"/>
              </w:rPr>
              <w:t xml:space="preserve">составляет </w:t>
            </w:r>
            <w:r w:rsidRPr="00CC73AA">
              <w:rPr>
                <w:rFonts w:ascii="Arial" w:hAnsi="Arial" w:cs="Arial"/>
                <w:b/>
                <w:i/>
                <w:sz w:val="20"/>
                <w:szCs w:val="20"/>
              </w:rPr>
              <w:t>не менее 400 млн. рублей</w:t>
            </w:r>
            <w:r w:rsidRPr="00CC73A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i/>
                <w:sz w:val="20"/>
                <w:szCs w:val="20"/>
              </w:rPr>
            </w:pPr>
            <w:r w:rsidRPr="00CC73AA">
              <w:rPr>
                <w:i/>
                <w:sz w:val="20"/>
                <w:szCs w:val="20"/>
              </w:rPr>
              <w:t>г) </w:t>
            </w:r>
            <w:r w:rsidRPr="00CC73AA">
              <w:rPr>
                <w:b/>
                <w:i/>
                <w:sz w:val="20"/>
                <w:szCs w:val="20"/>
              </w:rPr>
              <w:t>срок реализации инвестиционного проекта</w:t>
            </w:r>
            <w:r w:rsidRPr="00CC73AA">
              <w:rPr>
                <w:i/>
                <w:sz w:val="20"/>
                <w:szCs w:val="20"/>
              </w:rPr>
              <w:t xml:space="preserve">, который включает в себя финансирование создания объектов нового производства, а также объектов капитального строительства инженерной и транспортной инфраструктуры, </w:t>
            </w:r>
            <w:r w:rsidRPr="00CC73AA">
              <w:rPr>
                <w:b/>
                <w:i/>
                <w:sz w:val="20"/>
                <w:szCs w:val="20"/>
              </w:rPr>
              <w:t>не превышает трех лет</w:t>
            </w:r>
            <w:r w:rsidRPr="00CC73AA">
              <w:rPr>
                <w:i/>
                <w:sz w:val="20"/>
                <w:szCs w:val="20"/>
              </w:rPr>
              <w:t>;</w:t>
            </w:r>
          </w:p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i/>
                <w:sz w:val="20"/>
                <w:szCs w:val="20"/>
              </w:rPr>
            </w:pPr>
            <w:r w:rsidRPr="00CC73AA">
              <w:rPr>
                <w:i/>
                <w:sz w:val="20"/>
                <w:szCs w:val="20"/>
              </w:rPr>
              <w:t>д) </w:t>
            </w:r>
            <w:r w:rsidRPr="00CC73AA">
              <w:rPr>
                <w:b/>
                <w:i/>
                <w:sz w:val="20"/>
                <w:szCs w:val="20"/>
              </w:rPr>
              <w:t>увеличение количества рабочих мест в муниципальном образовании</w:t>
            </w:r>
            <w:r w:rsidRPr="00CC73AA">
              <w:rPr>
                <w:i/>
                <w:sz w:val="20"/>
                <w:szCs w:val="20"/>
              </w:rPr>
              <w:t xml:space="preserve">, на территории которого реализуется инвестиционный проект, – создание не менее </w:t>
            </w:r>
            <w:r w:rsidRPr="00CC73AA">
              <w:rPr>
                <w:b/>
                <w:i/>
                <w:sz w:val="20"/>
                <w:szCs w:val="20"/>
              </w:rPr>
              <w:t>50 новых рабочих</w:t>
            </w:r>
            <w:r w:rsidRPr="00CC73AA">
              <w:rPr>
                <w:i/>
                <w:sz w:val="20"/>
                <w:szCs w:val="20"/>
              </w:rPr>
              <w:t xml:space="preserve"> мест на территории сельского (городского) поселения либо не менее </w:t>
            </w:r>
            <w:r w:rsidRPr="00CC73AA">
              <w:rPr>
                <w:b/>
                <w:i/>
                <w:sz w:val="20"/>
                <w:szCs w:val="20"/>
              </w:rPr>
              <w:t>100 новых рабочих</w:t>
            </w:r>
            <w:r w:rsidRPr="00CC73AA">
              <w:rPr>
                <w:i/>
                <w:sz w:val="20"/>
                <w:szCs w:val="20"/>
              </w:rPr>
              <w:t xml:space="preserve"> мест на территории городского округа с момента создания нового производства;</w:t>
            </w:r>
          </w:p>
          <w:p w:rsidR="00E4416B" w:rsidRPr="00CC73AA" w:rsidRDefault="00E4416B" w:rsidP="00E01C55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CC73A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е) </w:t>
            </w:r>
            <w:r w:rsidRPr="00CC73AA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увеличение ежегодных поступлений от налогов</w:t>
            </w:r>
            <w:r w:rsidRPr="00CC73A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, взимаемых в муниципальном образовании, на территории которого реализуется инвестиционный проект, </w:t>
            </w:r>
            <w:r w:rsidRPr="00CC73AA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 xml:space="preserve">не менее чем на 5,0 млн. рублей с момента </w:t>
            </w:r>
            <w:r w:rsidRPr="00CC73AA">
              <w:rPr>
                <w:rFonts w:ascii="Arial" w:hAnsi="Arial" w:cs="Arial"/>
                <w:b/>
                <w:i/>
                <w:sz w:val="20"/>
                <w:szCs w:val="20"/>
              </w:rPr>
              <w:t>создания нового производства</w:t>
            </w:r>
            <w:r w:rsidRPr="00CC73AA">
              <w:rPr>
                <w:rFonts w:ascii="Arial" w:hAnsi="Arial" w:cs="Arial"/>
                <w:i/>
                <w:sz w:val="20"/>
                <w:szCs w:val="20"/>
              </w:rPr>
              <w:t xml:space="preserve"> и</w:t>
            </w:r>
            <w:r w:rsidRPr="00CC73A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ввода в эксплуатацию объекта </w:t>
            </w:r>
            <w:r w:rsidRPr="00CC73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капитального строительства инженерной</w:t>
            </w:r>
            <w:r w:rsidRPr="00CC73AA">
              <w:rPr>
                <w:rFonts w:ascii="Arial" w:hAnsi="Arial" w:cs="Arial"/>
                <w:i/>
                <w:sz w:val="20"/>
                <w:szCs w:val="20"/>
              </w:rPr>
              <w:t xml:space="preserve"> и транспортной</w:t>
            </w:r>
            <w:r w:rsidRPr="00CC73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инфраструктуры</w:t>
            </w:r>
            <w:r w:rsidRPr="00CC73A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sz w:val="20"/>
                <w:szCs w:val="20"/>
              </w:rPr>
            </w:pPr>
            <w:bookmarkStart w:id="1" w:name="P59"/>
            <w:bookmarkEnd w:id="1"/>
            <w:r w:rsidRPr="00CC73AA">
              <w:rPr>
                <w:sz w:val="20"/>
                <w:szCs w:val="20"/>
              </w:rPr>
              <w:t>К объектам капитального строительства инженерной и транспортной инфраструктуры относятся все объекты электро-, водо-, газоснабжения и водоотведения, дорожного хозяйства, необходимые для реализации инвестиционного проекта.</w:t>
            </w:r>
          </w:p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sz w:val="20"/>
                <w:szCs w:val="20"/>
              </w:rPr>
            </w:pPr>
            <w:r w:rsidRPr="00CC73AA">
              <w:rPr>
                <w:b/>
                <w:sz w:val="20"/>
                <w:szCs w:val="20"/>
              </w:rPr>
              <w:t>Объекты капитального строительства</w:t>
            </w:r>
            <w:r w:rsidRPr="00CC73AA">
              <w:rPr>
                <w:sz w:val="20"/>
                <w:szCs w:val="20"/>
              </w:rPr>
              <w:t xml:space="preserve"> инженерной и транспортной инфраструктуры, созданные за счет средств Фонда, </w:t>
            </w:r>
            <w:r w:rsidRPr="00CC73AA">
              <w:rPr>
                <w:b/>
                <w:sz w:val="20"/>
                <w:szCs w:val="20"/>
              </w:rPr>
              <w:t>являются государственной собственностью Чувашской Республики</w:t>
            </w:r>
            <w:r w:rsidRPr="00CC73AA">
              <w:rPr>
                <w:sz w:val="20"/>
                <w:szCs w:val="20"/>
              </w:rPr>
              <w:t>.</w:t>
            </w:r>
            <w:bookmarkStart w:id="2" w:name="P69"/>
            <w:bookmarkEnd w:id="2"/>
            <w:r w:rsidRPr="00CC73AA">
              <w:rPr>
                <w:sz w:val="20"/>
                <w:szCs w:val="20"/>
              </w:rPr>
              <w:t xml:space="preserve"> </w:t>
            </w:r>
          </w:p>
          <w:p w:rsidR="00CC73AA" w:rsidRDefault="00CC73AA" w:rsidP="00E01C55">
            <w:pPr>
              <w:pStyle w:val="ConsPlusNormal"/>
              <w:ind w:firstLine="460"/>
              <w:jc w:val="both"/>
              <w:rPr>
                <w:b/>
                <w:sz w:val="20"/>
                <w:szCs w:val="20"/>
              </w:rPr>
            </w:pPr>
          </w:p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b/>
                <w:sz w:val="20"/>
                <w:szCs w:val="20"/>
              </w:rPr>
            </w:pPr>
            <w:r w:rsidRPr="00CC73AA">
              <w:rPr>
                <w:b/>
                <w:sz w:val="20"/>
                <w:szCs w:val="20"/>
              </w:rPr>
              <w:lastRenderedPageBreak/>
              <w:t xml:space="preserve">Финансирование осуществляется в следующих размерах: </w:t>
            </w:r>
          </w:p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i/>
                <w:sz w:val="20"/>
                <w:szCs w:val="20"/>
              </w:rPr>
            </w:pPr>
            <w:r w:rsidRPr="00CC73AA">
              <w:rPr>
                <w:i/>
                <w:sz w:val="20"/>
                <w:szCs w:val="20"/>
              </w:rPr>
              <w:t>при реализации инвестиционных проектов с объемом инвестиций от 400 млн. рублей до 1,0 млрд. рублей включительно размер финансирования составляет не более 100 млн. рублей;</w:t>
            </w:r>
          </w:p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i/>
                <w:sz w:val="20"/>
                <w:szCs w:val="20"/>
              </w:rPr>
            </w:pPr>
            <w:r w:rsidRPr="00CC73AA">
              <w:rPr>
                <w:i/>
                <w:sz w:val="20"/>
                <w:szCs w:val="20"/>
              </w:rPr>
              <w:t>при реализации инвестиционных проектов с объемом инвестиций свыше 1,0 млрд. рублей и до 3,0 млрд. рублей – не более 200 млн. рублей;</w:t>
            </w:r>
          </w:p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i/>
                <w:sz w:val="20"/>
                <w:szCs w:val="20"/>
              </w:rPr>
            </w:pPr>
            <w:r w:rsidRPr="00CC73AA">
              <w:rPr>
                <w:i/>
                <w:sz w:val="20"/>
                <w:szCs w:val="20"/>
              </w:rPr>
              <w:t xml:space="preserve">при реализации инвестиционных проектов с объемом инвестиций 3,0 млрд. рублей и выше – не более 300 млн. рублей. </w:t>
            </w:r>
          </w:p>
          <w:p w:rsidR="00E4416B" w:rsidRPr="00CC73AA" w:rsidRDefault="00E4416B" w:rsidP="00E01C55">
            <w:pPr>
              <w:pStyle w:val="ConsPlusNormal"/>
              <w:ind w:firstLine="460"/>
              <w:jc w:val="both"/>
              <w:rPr>
                <w:b/>
                <w:sz w:val="20"/>
                <w:szCs w:val="20"/>
              </w:rPr>
            </w:pPr>
            <w:bookmarkStart w:id="3" w:name="P129"/>
            <w:bookmarkEnd w:id="3"/>
            <w:r w:rsidRPr="00CC73AA">
              <w:rPr>
                <w:b/>
                <w:sz w:val="20"/>
                <w:szCs w:val="20"/>
              </w:rPr>
              <w:t xml:space="preserve">Представляемы документы: </w:t>
            </w:r>
          </w:p>
          <w:p w:rsidR="00E4416B" w:rsidRPr="00CC73AA" w:rsidRDefault="00E4416B" w:rsidP="00E0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а) заявку на участие в конкурсном отборе с указанием:</w:t>
            </w:r>
          </w:p>
          <w:p w:rsidR="00E4416B" w:rsidRPr="00CC73AA" w:rsidRDefault="00E4416B" w:rsidP="00E0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C73AA">
              <w:rPr>
                <w:rFonts w:ascii="Arial" w:hAnsi="Arial" w:cs="Arial"/>
                <w:i/>
                <w:sz w:val="20"/>
                <w:szCs w:val="20"/>
              </w:rPr>
              <w:t>стоимости инвестиционного проекта, включающей в себя сумму финансирования строительства объектов нового производства и сумму сметных стоимостей строительства (реконструкции) объектов капитального строительства инженерной и транспортной инфраструктуры, создаваемых в рамках инвестиционного проекта (за вычетом расходов на разработку проектной документации и расходов на проведение государственной экспертизы проектной документации);</w:t>
            </w:r>
          </w:p>
          <w:p w:rsidR="00E4416B" w:rsidRPr="00CC73AA" w:rsidRDefault="00E4416B" w:rsidP="00E0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C73AA">
              <w:rPr>
                <w:rFonts w:ascii="Arial" w:hAnsi="Arial" w:cs="Arial"/>
                <w:i/>
                <w:sz w:val="20"/>
                <w:szCs w:val="20"/>
              </w:rPr>
              <w:t>срока реализации инвестиционного проекта;</w:t>
            </w:r>
          </w:p>
          <w:p w:rsidR="00E4416B" w:rsidRPr="00CC73AA" w:rsidRDefault="00E4416B" w:rsidP="00E0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C73AA">
              <w:rPr>
                <w:rFonts w:ascii="Arial" w:hAnsi="Arial" w:cs="Arial"/>
                <w:i/>
                <w:sz w:val="20"/>
                <w:szCs w:val="20"/>
              </w:rPr>
              <w:t>состава участников инвестиционного проекта;</w:t>
            </w:r>
          </w:p>
          <w:p w:rsidR="00E4416B" w:rsidRPr="00CC73AA" w:rsidRDefault="00E4416B" w:rsidP="00E01C55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C73AA">
              <w:rPr>
                <w:rFonts w:ascii="Arial" w:hAnsi="Arial" w:cs="Arial"/>
                <w:i/>
                <w:sz w:val="20"/>
                <w:szCs w:val="20"/>
              </w:rPr>
              <w:t xml:space="preserve">экономической и бюджетной эффективности, </w:t>
            </w:r>
            <w:r w:rsidRPr="00CC73AA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общественной значимости и полезности инвестиционного проекта</w:t>
            </w:r>
            <w:r w:rsidRPr="00CC73A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E4416B" w:rsidRPr="00CC73AA" w:rsidRDefault="00E4416B" w:rsidP="00E0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C73AA">
              <w:rPr>
                <w:rFonts w:ascii="Arial" w:hAnsi="Arial" w:cs="Arial"/>
                <w:i/>
                <w:sz w:val="20"/>
                <w:szCs w:val="20"/>
              </w:rPr>
              <w:t>обоснования соответствия инвестиционного проекта требованиям и критериям, установленным пунктами 1.2 и 2.1 настоящего Порядка;</w:t>
            </w:r>
          </w:p>
          <w:p w:rsidR="00E4416B" w:rsidRPr="00CC73AA" w:rsidRDefault="00E4416B" w:rsidP="00E0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C73AA">
              <w:rPr>
                <w:rFonts w:ascii="Arial" w:hAnsi="Arial" w:cs="Arial"/>
                <w:i/>
                <w:sz w:val="20"/>
                <w:szCs w:val="20"/>
              </w:rPr>
              <w:t>сведений о наличии проектной документации и положительных заключений государственной экспертизы на нее;</w:t>
            </w:r>
          </w:p>
          <w:p w:rsidR="00E4416B" w:rsidRPr="00CC73AA" w:rsidRDefault="00E4416B" w:rsidP="00E0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б) бизнес-план проекта;</w:t>
            </w:r>
          </w:p>
          <w:p w:rsidR="00E4416B" w:rsidRPr="00CC73AA" w:rsidRDefault="00E4416B" w:rsidP="00E0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в) финансовую модель проекта (на электронном носителе);</w:t>
            </w:r>
          </w:p>
          <w:p w:rsidR="00E4416B" w:rsidRPr="00CC73AA" w:rsidRDefault="00E4416B" w:rsidP="00E0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 xml:space="preserve">г) копию решения с указанием объема инвестиций, направляемых для реализации инвестиционного проекта, в ценах, сложившихся по состоянию на I квартал года подачи заявки, и в ценах соответствующих лет с указанием доли собственных, заемных или привлеченных средств, перечня объектов капитального строительства частной собственности субъекта инвестиционной деятельности, подлежащих созданию в рамках инвестиционного проекта, и сроков их создания; </w:t>
            </w:r>
          </w:p>
          <w:p w:rsidR="00E4416B" w:rsidRPr="00CC73AA" w:rsidRDefault="00E4416B" w:rsidP="00E01C55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 xml:space="preserve">д) копию положительного заключения государственной экспертизы на результаты инженерных изысканий и проектную документацию в отношении каждого объекта капитального строительства, создаваемого в рамках инвестиционного проекта, </w:t>
            </w:r>
            <w:r w:rsidRPr="00CC73AA">
              <w:rPr>
                <w:rFonts w:ascii="Arial" w:hAnsi="Arial" w:cs="Arial"/>
                <w:sz w:val="20"/>
                <w:szCs w:val="20"/>
                <w:lang w:eastAsia="ru-RU"/>
              </w:rPr>
              <w:t>проведенной автономным учреждением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</w:t>
            </w:r>
            <w:r w:rsidRPr="00CC73A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4416B" w:rsidRPr="00CC73AA" w:rsidRDefault="00E4416B" w:rsidP="00E01C55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 xml:space="preserve">е) копию положительного заключения о достоверности определения сметной стоимости, а также сводный сметный расчет строительства (реконструкции) каждого из объектов капитального строительства инженерной и транспортной инфраструктуры; </w:t>
            </w:r>
          </w:p>
          <w:p w:rsidR="00E4416B" w:rsidRPr="00CC73AA" w:rsidRDefault="00E4416B" w:rsidP="00E01C55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>ж) сводный сметный расчет строительства (реконструкции) каждого из объектов капитального строительства (реконструкции) частной собственности субъекта инвестиционной деятельности</w:t>
            </w:r>
            <w:r w:rsidRPr="00CC73AA">
              <w:rPr>
                <w:rFonts w:ascii="Arial" w:hAnsi="Arial" w:cs="Arial"/>
                <w:sz w:val="20"/>
                <w:szCs w:val="20"/>
                <w:lang w:eastAsia="ru-RU"/>
              </w:rPr>
              <w:t>, подлежащих созданию в рамках инвестиционного проекта</w:t>
            </w:r>
            <w:r w:rsidRPr="00CC73A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4416B" w:rsidRPr="00CC73AA" w:rsidRDefault="00E4416B" w:rsidP="00E01C55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3AA">
              <w:rPr>
                <w:rFonts w:ascii="Arial" w:hAnsi="Arial" w:cs="Arial"/>
                <w:sz w:val="20"/>
                <w:szCs w:val="20"/>
              </w:rPr>
              <w:t xml:space="preserve">з) копии правоустанавливающих документов на земельные участки, отведенные под строительство (реконструкцию) каждого объекта капитального строительства в рамках реализации инвестиционного проекта, а в случае их отсутствия – копию решения о предварительном согласовании предоставления земельного участка. </w:t>
            </w:r>
          </w:p>
          <w:p w:rsidR="00E4416B" w:rsidRPr="00CC73AA" w:rsidRDefault="00E4416B" w:rsidP="00E01C55">
            <w:pPr>
              <w:pStyle w:val="ConsPlusNormal"/>
              <w:ind w:firstLine="458"/>
              <w:jc w:val="both"/>
              <w:rPr>
                <w:rFonts w:eastAsia="SimSu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E340F" w:rsidRPr="00CC73AA" w:rsidRDefault="00CE340F" w:rsidP="00E01C55">
      <w:pPr>
        <w:pStyle w:val="af"/>
        <w:jc w:val="both"/>
        <w:rPr>
          <w:rFonts w:ascii="Arial" w:hAnsi="Arial" w:cs="Arial"/>
          <w:sz w:val="20"/>
          <w:szCs w:val="20"/>
        </w:rPr>
      </w:pPr>
    </w:p>
    <w:sectPr w:rsidR="00CE340F" w:rsidRPr="00CC73AA" w:rsidSect="00E4416B">
      <w:pgSz w:w="11906" w:h="16838"/>
      <w:pgMar w:top="709" w:right="850" w:bottom="426" w:left="851" w:header="142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C5" w:rsidRDefault="000255C5" w:rsidP="00115912">
      <w:pPr>
        <w:spacing w:after="0" w:line="240" w:lineRule="auto"/>
      </w:pPr>
      <w:r>
        <w:separator/>
      </w:r>
    </w:p>
  </w:endnote>
  <w:endnote w:type="continuationSeparator" w:id="0">
    <w:p w:rsidR="000255C5" w:rsidRDefault="000255C5" w:rsidP="0011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C5" w:rsidRDefault="000255C5" w:rsidP="00115912">
      <w:pPr>
        <w:spacing w:after="0" w:line="240" w:lineRule="auto"/>
      </w:pPr>
      <w:r>
        <w:separator/>
      </w:r>
    </w:p>
  </w:footnote>
  <w:footnote w:type="continuationSeparator" w:id="0">
    <w:p w:rsidR="000255C5" w:rsidRDefault="000255C5" w:rsidP="0011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0A1"/>
    <w:multiLevelType w:val="hybridMultilevel"/>
    <w:tmpl w:val="598CA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41F"/>
    <w:multiLevelType w:val="hybridMultilevel"/>
    <w:tmpl w:val="B0B4784C"/>
    <w:lvl w:ilvl="0" w:tplc="8E54A6F0">
      <w:numFmt w:val="bullet"/>
      <w:lvlText w:val=""/>
      <w:lvlJc w:val="left"/>
      <w:pPr>
        <w:ind w:left="118" w:hanging="2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DA47B4">
      <w:numFmt w:val="bullet"/>
      <w:lvlText w:val="•"/>
      <w:lvlJc w:val="left"/>
      <w:pPr>
        <w:ind w:left="1130" w:hanging="212"/>
      </w:pPr>
      <w:rPr>
        <w:rFonts w:hint="default"/>
      </w:rPr>
    </w:lvl>
    <w:lvl w:ilvl="2" w:tplc="507860B2">
      <w:numFmt w:val="bullet"/>
      <w:lvlText w:val="•"/>
      <w:lvlJc w:val="left"/>
      <w:pPr>
        <w:ind w:left="2141" w:hanging="212"/>
      </w:pPr>
      <w:rPr>
        <w:rFonts w:hint="default"/>
      </w:rPr>
    </w:lvl>
    <w:lvl w:ilvl="3" w:tplc="1FBE2D56">
      <w:numFmt w:val="bullet"/>
      <w:lvlText w:val="•"/>
      <w:lvlJc w:val="left"/>
      <w:pPr>
        <w:ind w:left="3151" w:hanging="212"/>
      </w:pPr>
      <w:rPr>
        <w:rFonts w:hint="default"/>
      </w:rPr>
    </w:lvl>
    <w:lvl w:ilvl="4" w:tplc="B27023BA">
      <w:numFmt w:val="bullet"/>
      <w:lvlText w:val="•"/>
      <w:lvlJc w:val="left"/>
      <w:pPr>
        <w:ind w:left="4162" w:hanging="212"/>
      </w:pPr>
      <w:rPr>
        <w:rFonts w:hint="default"/>
      </w:rPr>
    </w:lvl>
    <w:lvl w:ilvl="5" w:tplc="D8B08742">
      <w:numFmt w:val="bullet"/>
      <w:lvlText w:val="•"/>
      <w:lvlJc w:val="left"/>
      <w:pPr>
        <w:ind w:left="5173" w:hanging="212"/>
      </w:pPr>
      <w:rPr>
        <w:rFonts w:hint="default"/>
      </w:rPr>
    </w:lvl>
    <w:lvl w:ilvl="6" w:tplc="92CAC6D2">
      <w:numFmt w:val="bullet"/>
      <w:lvlText w:val="•"/>
      <w:lvlJc w:val="left"/>
      <w:pPr>
        <w:ind w:left="6183" w:hanging="212"/>
      </w:pPr>
      <w:rPr>
        <w:rFonts w:hint="default"/>
      </w:rPr>
    </w:lvl>
    <w:lvl w:ilvl="7" w:tplc="21F04F7A">
      <w:numFmt w:val="bullet"/>
      <w:lvlText w:val="•"/>
      <w:lvlJc w:val="left"/>
      <w:pPr>
        <w:ind w:left="7194" w:hanging="212"/>
      </w:pPr>
      <w:rPr>
        <w:rFonts w:hint="default"/>
      </w:rPr>
    </w:lvl>
    <w:lvl w:ilvl="8" w:tplc="86C0FCBE">
      <w:numFmt w:val="bullet"/>
      <w:lvlText w:val="•"/>
      <w:lvlJc w:val="left"/>
      <w:pPr>
        <w:ind w:left="8205" w:hanging="212"/>
      </w:pPr>
      <w:rPr>
        <w:rFonts w:hint="default"/>
      </w:rPr>
    </w:lvl>
  </w:abstractNum>
  <w:abstractNum w:abstractNumId="2" w15:restartNumberingAfterBreak="0">
    <w:nsid w:val="32FE09DD"/>
    <w:multiLevelType w:val="hybridMultilevel"/>
    <w:tmpl w:val="EA567814"/>
    <w:lvl w:ilvl="0" w:tplc="22CC6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3949"/>
    <w:multiLevelType w:val="hybridMultilevel"/>
    <w:tmpl w:val="22DC9A78"/>
    <w:lvl w:ilvl="0" w:tplc="CEF06A8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440C3CB2"/>
    <w:multiLevelType w:val="hybridMultilevel"/>
    <w:tmpl w:val="68E44A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A036C2"/>
    <w:multiLevelType w:val="hybridMultilevel"/>
    <w:tmpl w:val="8232217E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5234607E"/>
    <w:multiLevelType w:val="hybridMultilevel"/>
    <w:tmpl w:val="31AC179C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7" w15:restartNumberingAfterBreak="0">
    <w:nsid w:val="5DE679A3"/>
    <w:multiLevelType w:val="hybridMultilevel"/>
    <w:tmpl w:val="50622DAC"/>
    <w:lvl w:ilvl="0" w:tplc="7D3CD1DC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505E4C">
      <w:numFmt w:val="bullet"/>
      <w:lvlText w:val="•"/>
      <w:lvlJc w:val="left"/>
      <w:pPr>
        <w:ind w:left="1130" w:hanging="286"/>
      </w:pPr>
      <w:rPr>
        <w:rFonts w:hint="default"/>
      </w:rPr>
    </w:lvl>
    <w:lvl w:ilvl="2" w:tplc="256A9FEE">
      <w:numFmt w:val="bullet"/>
      <w:lvlText w:val="•"/>
      <w:lvlJc w:val="left"/>
      <w:pPr>
        <w:ind w:left="2141" w:hanging="286"/>
      </w:pPr>
      <w:rPr>
        <w:rFonts w:hint="default"/>
      </w:rPr>
    </w:lvl>
    <w:lvl w:ilvl="3" w:tplc="01D2376A">
      <w:numFmt w:val="bullet"/>
      <w:lvlText w:val="•"/>
      <w:lvlJc w:val="left"/>
      <w:pPr>
        <w:ind w:left="3151" w:hanging="286"/>
      </w:pPr>
      <w:rPr>
        <w:rFonts w:hint="default"/>
      </w:rPr>
    </w:lvl>
    <w:lvl w:ilvl="4" w:tplc="2F88F74C">
      <w:numFmt w:val="bullet"/>
      <w:lvlText w:val="•"/>
      <w:lvlJc w:val="left"/>
      <w:pPr>
        <w:ind w:left="4162" w:hanging="286"/>
      </w:pPr>
      <w:rPr>
        <w:rFonts w:hint="default"/>
      </w:rPr>
    </w:lvl>
    <w:lvl w:ilvl="5" w:tplc="E27A192C">
      <w:numFmt w:val="bullet"/>
      <w:lvlText w:val="•"/>
      <w:lvlJc w:val="left"/>
      <w:pPr>
        <w:ind w:left="5173" w:hanging="286"/>
      </w:pPr>
      <w:rPr>
        <w:rFonts w:hint="default"/>
      </w:rPr>
    </w:lvl>
    <w:lvl w:ilvl="6" w:tplc="F5BCD998">
      <w:numFmt w:val="bullet"/>
      <w:lvlText w:val="•"/>
      <w:lvlJc w:val="left"/>
      <w:pPr>
        <w:ind w:left="6183" w:hanging="286"/>
      </w:pPr>
      <w:rPr>
        <w:rFonts w:hint="default"/>
      </w:rPr>
    </w:lvl>
    <w:lvl w:ilvl="7" w:tplc="3274FB2A">
      <w:numFmt w:val="bullet"/>
      <w:lvlText w:val="•"/>
      <w:lvlJc w:val="left"/>
      <w:pPr>
        <w:ind w:left="7194" w:hanging="286"/>
      </w:pPr>
      <w:rPr>
        <w:rFonts w:hint="default"/>
      </w:rPr>
    </w:lvl>
    <w:lvl w:ilvl="8" w:tplc="46BC26F2">
      <w:numFmt w:val="bullet"/>
      <w:lvlText w:val="•"/>
      <w:lvlJc w:val="left"/>
      <w:pPr>
        <w:ind w:left="8205" w:hanging="286"/>
      </w:pPr>
      <w:rPr>
        <w:rFonts w:hint="default"/>
      </w:rPr>
    </w:lvl>
  </w:abstractNum>
  <w:abstractNum w:abstractNumId="8" w15:restartNumberingAfterBreak="0">
    <w:nsid w:val="6D440CED"/>
    <w:multiLevelType w:val="hybridMultilevel"/>
    <w:tmpl w:val="C18E0B42"/>
    <w:lvl w:ilvl="0" w:tplc="D072565E">
      <w:start w:val="1"/>
      <w:numFmt w:val="bullet"/>
      <w:suff w:val="space"/>
      <w:lvlText w:val=""/>
      <w:lvlJc w:val="left"/>
      <w:pPr>
        <w:ind w:left="1072" w:hanging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EF6B67"/>
    <w:multiLevelType w:val="hybridMultilevel"/>
    <w:tmpl w:val="514057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E512E86"/>
    <w:multiLevelType w:val="hybridMultilevel"/>
    <w:tmpl w:val="90163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5D"/>
    <w:rsid w:val="000010FA"/>
    <w:rsid w:val="0001010E"/>
    <w:rsid w:val="00014FC7"/>
    <w:rsid w:val="000255C5"/>
    <w:rsid w:val="00047E63"/>
    <w:rsid w:val="00062A5D"/>
    <w:rsid w:val="00082026"/>
    <w:rsid w:val="00087A1A"/>
    <w:rsid w:val="000B4DC5"/>
    <w:rsid w:val="000B5F06"/>
    <w:rsid w:val="000C196C"/>
    <w:rsid w:val="000C5180"/>
    <w:rsid w:val="000D6A7B"/>
    <w:rsid w:val="000E45E2"/>
    <w:rsid w:val="000F01C1"/>
    <w:rsid w:val="000F15A3"/>
    <w:rsid w:val="000F2786"/>
    <w:rsid w:val="000F4B3F"/>
    <w:rsid w:val="00102608"/>
    <w:rsid w:val="0010320A"/>
    <w:rsid w:val="00115912"/>
    <w:rsid w:val="001222C9"/>
    <w:rsid w:val="0012667B"/>
    <w:rsid w:val="001466F2"/>
    <w:rsid w:val="00150B06"/>
    <w:rsid w:val="0015111D"/>
    <w:rsid w:val="00155369"/>
    <w:rsid w:val="00171012"/>
    <w:rsid w:val="00172021"/>
    <w:rsid w:val="001950A2"/>
    <w:rsid w:val="001A093C"/>
    <w:rsid w:val="001C2275"/>
    <w:rsid w:val="00200DCA"/>
    <w:rsid w:val="00206C76"/>
    <w:rsid w:val="002257AB"/>
    <w:rsid w:val="00225A58"/>
    <w:rsid w:val="00235859"/>
    <w:rsid w:val="00251B23"/>
    <w:rsid w:val="002577D2"/>
    <w:rsid w:val="00263B0C"/>
    <w:rsid w:val="00286A9C"/>
    <w:rsid w:val="00293395"/>
    <w:rsid w:val="00296CE7"/>
    <w:rsid w:val="002B50B6"/>
    <w:rsid w:val="002B6F3F"/>
    <w:rsid w:val="002B716F"/>
    <w:rsid w:val="002E4FB6"/>
    <w:rsid w:val="00325184"/>
    <w:rsid w:val="003278A8"/>
    <w:rsid w:val="00342221"/>
    <w:rsid w:val="00352DA8"/>
    <w:rsid w:val="00363AC4"/>
    <w:rsid w:val="00366A1C"/>
    <w:rsid w:val="00366D8C"/>
    <w:rsid w:val="00383598"/>
    <w:rsid w:val="00384D20"/>
    <w:rsid w:val="003858C0"/>
    <w:rsid w:val="003913DC"/>
    <w:rsid w:val="0039402B"/>
    <w:rsid w:val="003A3D71"/>
    <w:rsid w:val="003B5836"/>
    <w:rsid w:val="003C25EC"/>
    <w:rsid w:val="003F031A"/>
    <w:rsid w:val="003F0F3D"/>
    <w:rsid w:val="003F38F0"/>
    <w:rsid w:val="00424CB6"/>
    <w:rsid w:val="00430137"/>
    <w:rsid w:val="00436C4D"/>
    <w:rsid w:val="00441169"/>
    <w:rsid w:val="00450CE8"/>
    <w:rsid w:val="00451F8A"/>
    <w:rsid w:val="00456FC9"/>
    <w:rsid w:val="00461761"/>
    <w:rsid w:val="004807ED"/>
    <w:rsid w:val="004A0345"/>
    <w:rsid w:val="004B1AA6"/>
    <w:rsid w:val="004E7A81"/>
    <w:rsid w:val="00507FAE"/>
    <w:rsid w:val="00534881"/>
    <w:rsid w:val="00546E35"/>
    <w:rsid w:val="00547805"/>
    <w:rsid w:val="00551720"/>
    <w:rsid w:val="00573744"/>
    <w:rsid w:val="005B6298"/>
    <w:rsid w:val="005C302E"/>
    <w:rsid w:val="005E1A97"/>
    <w:rsid w:val="005F2A90"/>
    <w:rsid w:val="00600822"/>
    <w:rsid w:val="00605BA0"/>
    <w:rsid w:val="00615E57"/>
    <w:rsid w:val="00624CCD"/>
    <w:rsid w:val="00624F79"/>
    <w:rsid w:val="00633395"/>
    <w:rsid w:val="00643E37"/>
    <w:rsid w:val="00663B65"/>
    <w:rsid w:val="006653BB"/>
    <w:rsid w:val="00670A6E"/>
    <w:rsid w:val="00673CBA"/>
    <w:rsid w:val="006748B5"/>
    <w:rsid w:val="00681A80"/>
    <w:rsid w:val="006A6180"/>
    <w:rsid w:val="006F08A3"/>
    <w:rsid w:val="00703B07"/>
    <w:rsid w:val="00713AEF"/>
    <w:rsid w:val="00736E76"/>
    <w:rsid w:val="007509F7"/>
    <w:rsid w:val="007848B0"/>
    <w:rsid w:val="00786E34"/>
    <w:rsid w:val="007A3ABF"/>
    <w:rsid w:val="007A4A52"/>
    <w:rsid w:val="007B4C98"/>
    <w:rsid w:val="007C09BD"/>
    <w:rsid w:val="007C6B5E"/>
    <w:rsid w:val="007D6F60"/>
    <w:rsid w:val="007D6FF0"/>
    <w:rsid w:val="00840862"/>
    <w:rsid w:val="00854DAB"/>
    <w:rsid w:val="008613BB"/>
    <w:rsid w:val="00867FAB"/>
    <w:rsid w:val="00870C0B"/>
    <w:rsid w:val="008A5C82"/>
    <w:rsid w:val="008C2288"/>
    <w:rsid w:val="008C24BD"/>
    <w:rsid w:val="008C54DF"/>
    <w:rsid w:val="008F75A7"/>
    <w:rsid w:val="00916ACA"/>
    <w:rsid w:val="00925EE3"/>
    <w:rsid w:val="009610D5"/>
    <w:rsid w:val="0098652A"/>
    <w:rsid w:val="009919DB"/>
    <w:rsid w:val="009E2385"/>
    <w:rsid w:val="009F0B32"/>
    <w:rsid w:val="00A02AEC"/>
    <w:rsid w:val="00A22C6E"/>
    <w:rsid w:val="00A42CB7"/>
    <w:rsid w:val="00A513DC"/>
    <w:rsid w:val="00A71891"/>
    <w:rsid w:val="00A8527E"/>
    <w:rsid w:val="00A901C5"/>
    <w:rsid w:val="00A948CC"/>
    <w:rsid w:val="00AE3056"/>
    <w:rsid w:val="00AE66B9"/>
    <w:rsid w:val="00AE77A8"/>
    <w:rsid w:val="00AF25BC"/>
    <w:rsid w:val="00B07D70"/>
    <w:rsid w:val="00B21D59"/>
    <w:rsid w:val="00B40C01"/>
    <w:rsid w:val="00B56387"/>
    <w:rsid w:val="00B63E79"/>
    <w:rsid w:val="00B64DBF"/>
    <w:rsid w:val="00B70209"/>
    <w:rsid w:val="00B70B8F"/>
    <w:rsid w:val="00B905AC"/>
    <w:rsid w:val="00B92A60"/>
    <w:rsid w:val="00BB0E5E"/>
    <w:rsid w:val="00BC1683"/>
    <w:rsid w:val="00BC5406"/>
    <w:rsid w:val="00BC683C"/>
    <w:rsid w:val="00BD3E0F"/>
    <w:rsid w:val="00BE4B17"/>
    <w:rsid w:val="00C262F9"/>
    <w:rsid w:val="00C340E3"/>
    <w:rsid w:val="00C3783A"/>
    <w:rsid w:val="00C46EA6"/>
    <w:rsid w:val="00C478CC"/>
    <w:rsid w:val="00C51655"/>
    <w:rsid w:val="00CB6D2F"/>
    <w:rsid w:val="00CC5609"/>
    <w:rsid w:val="00CC73AA"/>
    <w:rsid w:val="00CE340F"/>
    <w:rsid w:val="00CE3C2D"/>
    <w:rsid w:val="00CF03FC"/>
    <w:rsid w:val="00CF1F38"/>
    <w:rsid w:val="00D05FC8"/>
    <w:rsid w:val="00D2169B"/>
    <w:rsid w:val="00D222DB"/>
    <w:rsid w:val="00D31A55"/>
    <w:rsid w:val="00D33E7D"/>
    <w:rsid w:val="00D433D5"/>
    <w:rsid w:val="00DA1B0C"/>
    <w:rsid w:val="00DA6F0B"/>
    <w:rsid w:val="00DB7C06"/>
    <w:rsid w:val="00DC5211"/>
    <w:rsid w:val="00DC7049"/>
    <w:rsid w:val="00DE318B"/>
    <w:rsid w:val="00DF7698"/>
    <w:rsid w:val="00E01C55"/>
    <w:rsid w:val="00E34F7F"/>
    <w:rsid w:val="00E4416B"/>
    <w:rsid w:val="00E52CCA"/>
    <w:rsid w:val="00E714ED"/>
    <w:rsid w:val="00E722FD"/>
    <w:rsid w:val="00E96BB3"/>
    <w:rsid w:val="00EA0AE6"/>
    <w:rsid w:val="00F0157D"/>
    <w:rsid w:val="00F55133"/>
    <w:rsid w:val="00F5561B"/>
    <w:rsid w:val="00F73163"/>
    <w:rsid w:val="00F90C3D"/>
    <w:rsid w:val="00F912E8"/>
    <w:rsid w:val="00F93A4C"/>
    <w:rsid w:val="00FB738A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E7A4D-BC4B-48A9-8486-F68FED19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A5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11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912"/>
  </w:style>
  <w:style w:type="paragraph" w:styleId="a5">
    <w:name w:val="footer"/>
    <w:basedOn w:val="a"/>
    <w:link w:val="a6"/>
    <w:uiPriority w:val="99"/>
    <w:unhideWhenUsed/>
    <w:rsid w:val="0011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912"/>
  </w:style>
  <w:style w:type="paragraph" w:styleId="a7">
    <w:name w:val="Balloon Text"/>
    <w:basedOn w:val="a"/>
    <w:link w:val="a8"/>
    <w:uiPriority w:val="99"/>
    <w:semiHidden/>
    <w:unhideWhenUsed/>
    <w:rsid w:val="0067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8B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00D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1010E"/>
    <w:pPr>
      <w:spacing w:after="120" w:line="240" w:lineRule="auto"/>
    </w:pPr>
    <w:rPr>
      <w:rFonts w:ascii="Times New Roman" w:eastAsia="Batang" w:hAnsi="Times New Roman" w:cs="Times New Roman"/>
      <w:sz w:val="26"/>
      <w:szCs w:val="24"/>
      <w:lang w:eastAsia="ko-KR"/>
    </w:rPr>
  </w:style>
  <w:style w:type="character" w:customStyle="1" w:styleId="aa">
    <w:name w:val="Основной текст Знак"/>
    <w:basedOn w:val="a0"/>
    <w:link w:val="a9"/>
    <w:rsid w:val="0001010E"/>
    <w:rPr>
      <w:rFonts w:ascii="Times New Roman" w:eastAsia="Batang" w:hAnsi="Times New Roman" w:cs="Times New Roman"/>
      <w:sz w:val="26"/>
      <w:szCs w:val="24"/>
      <w:lang w:eastAsia="ko-KR"/>
    </w:rPr>
  </w:style>
  <w:style w:type="paragraph" w:customStyle="1" w:styleId="ConsPlusNormal">
    <w:name w:val="ConsPlusNormal"/>
    <w:rsid w:val="00263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6A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A6180"/>
    <w:rPr>
      <w:b/>
      <w:bCs/>
    </w:rPr>
  </w:style>
  <w:style w:type="table" w:styleId="ad">
    <w:name w:val="Table Grid"/>
    <w:basedOn w:val="a1"/>
    <w:uiPriority w:val="59"/>
    <w:rsid w:val="00CE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1950A2"/>
    <w:rPr>
      <w:color w:val="0000FF"/>
      <w:u w:val="single"/>
    </w:rPr>
  </w:style>
  <w:style w:type="paragraph" w:customStyle="1" w:styleId="ConsPlusTitle">
    <w:name w:val="ConsPlusTitle"/>
    <w:rsid w:val="00D05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1"/>
    <w:qFormat/>
    <w:rsid w:val="008C24B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24C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4CCD"/>
    <w:pPr>
      <w:widowControl w:val="0"/>
      <w:spacing w:after="0" w:line="250" w:lineRule="exact"/>
      <w:ind w:left="103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4664-76F3-4FE7-8D73-39C38739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indust11 (Иванова А.Г.)</dc:creator>
  <cp:keywords/>
  <dc:description/>
  <cp:lastModifiedBy>Шеляпина Марина</cp:lastModifiedBy>
  <cp:revision>2</cp:revision>
  <cp:lastPrinted>2017-08-04T13:38:00Z</cp:lastPrinted>
  <dcterms:created xsi:type="dcterms:W3CDTF">2017-10-13T05:32:00Z</dcterms:created>
  <dcterms:modified xsi:type="dcterms:W3CDTF">2017-10-13T05:32:00Z</dcterms:modified>
</cp:coreProperties>
</file>